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68FDE" w14:textId="77777777" w:rsidR="00E4570C" w:rsidRDefault="00E4570C">
      <w:pPr>
        <w:widowControl/>
        <w:jc w:val="center"/>
        <w:rPr>
          <w:rFonts w:ascii="Times New Roman" w:eastAsiaTheme="minorEastAsia" w:hAnsi="Times New Roman"/>
          <w:sz w:val="44"/>
          <w:szCs w:val="44"/>
        </w:rPr>
      </w:pPr>
    </w:p>
    <w:p w14:paraId="61FA2DE2" w14:textId="77777777" w:rsidR="00E4570C" w:rsidRDefault="00E4570C">
      <w:pPr>
        <w:widowControl/>
        <w:jc w:val="center"/>
        <w:rPr>
          <w:rFonts w:ascii="Times New Roman" w:eastAsiaTheme="minorEastAsia" w:hAnsi="Times New Roman"/>
          <w:sz w:val="44"/>
          <w:szCs w:val="44"/>
        </w:rPr>
      </w:pPr>
    </w:p>
    <w:p w14:paraId="55BF2911" w14:textId="77777777" w:rsidR="00E4570C" w:rsidRDefault="00000000">
      <w:pPr>
        <w:widowControl/>
        <w:jc w:val="center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sz w:val="44"/>
          <w:szCs w:val="44"/>
        </w:rPr>
        <w:t>供销合作行业标准</w:t>
      </w:r>
    </w:p>
    <w:p w14:paraId="45BAF7E4" w14:textId="23B77360" w:rsidR="00E4570C" w:rsidRDefault="00000000">
      <w:pPr>
        <w:widowControl/>
        <w:jc w:val="center"/>
        <w:rPr>
          <w:rFonts w:ascii="Times New Roman" w:eastAsiaTheme="minorEastAsia" w:hAnsi="Times New Roman"/>
          <w:b/>
          <w:color w:val="000000"/>
          <w:kern w:val="0"/>
          <w:sz w:val="52"/>
          <w:szCs w:val="52"/>
          <w:lang w:bidi="ar"/>
        </w:rPr>
      </w:pPr>
      <w:r>
        <w:rPr>
          <w:rFonts w:ascii="Times New Roman" w:eastAsiaTheme="minorEastAsia" w:hAnsi="Times New Roman"/>
          <w:b/>
          <w:color w:val="000000"/>
          <w:kern w:val="0"/>
          <w:sz w:val="52"/>
          <w:szCs w:val="52"/>
          <w:lang w:bidi="ar"/>
        </w:rPr>
        <w:t>《茶多酚加工技术规范》</w:t>
      </w:r>
    </w:p>
    <w:p w14:paraId="30C4B999" w14:textId="77777777" w:rsidR="00E4570C" w:rsidRDefault="00E4570C">
      <w:pPr>
        <w:widowControl/>
        <w:jc w:val="center"/>
        <w:rPr>
          <w:rFonts w:ascii="Times New Roman" w:eastAsiaTheme="minorEastAsia" w:hAnsi="Times New Roman"/>
          <w:b/>
          <w:color w:val="000000"/>
          <w:kern w:val="0"/>
          <w:sz w:val="52"/>
          <w:szCs w:val="52"/>
          <w:lang w:bidi="ar"/>
        </w:rPr>
      </w:pPr>
    </w:p>
    <w:p w14:paraId="0610FF46" w14:textId="77777777" w:rsidR="00E4570C" w:rsidRDefault="00E4570C">
      <w:pPr>
        <w:widowControl/>
        <w:jc w:val="center"/>
        <w:rPr>
          <w:rFonts w:ascii="Times New Roman" w:eastAsiaTheme="minorEastAsia" w:hAnsi="Times New Roman"/>
          <w:b/>
          <w:color w:val="000000"/>
          <w:kern w:val="0"/>
          <w:sz w:val="52"/>
          <w:szCs w:val="52"/>
          <w:lang w:bidi="ar"/>
        </w:rPr>
      </w:pPr>
    </w:p>
    <w:p w14:paraId="3C325320" w14:textId="77777777" w:rsidR="00091E18" w:rsidRDefault="00091E18">
      <w:pPr>
        <w:widowControl/>
        <w:jc w:val="center"/>
        <w:rPr>
          <w:rFonts w:ascii="Times New Roman" w:eastAsiaTheme="minorEastAsia" w:hAnsi="Times New Roman"/>
          <w:b/>
          <w:color w:val="000000"/>
          <w:kern w:val="0"/>
          <w:sz w:val="52"/>
          <w:szCs w:val="52"/>
          <w:lang w:bidi="ar"/>
        </w:rPr>
      </w:pPr>
    </w:p>
    <w:p w14:paraId="659670FF" w14:textId="77777777" w:rsidR="00091E18" w:rsidRPr="00091E18" w:rsidRDefault="00091E18">
      <w:pPr>
        <w:widowControl/>
        <w:jc w:val="center"/>
        <w:rPr>
          <w:rFonts w:ascii="Times New Roman" w:eastAsiaTheme="minorEastAsia" w:hAnsi="Times New Roman"/>
          <w:b/>
          <w:color w:val="000000"/>
          <w:kern w:val="0"/>
          <w:sz w:val="52"/>
          <w:szCs w:val="52"/>
          <w:lang w:bidi="ar"/>
        </w:rPr>
      </w:pPr>
    </w:p>
    <w:p w14:paraId="551DC7FE" w14:textId="77777777" w:rsidR="00E4570C" w:rsidRDefault="00000000">
      <w:pPr>
        <w:widowControl/>
        <w:jc w:val="center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b/>
          <w:color w:val="000000"/>
          <w:kern w:val="0"/>
          <w:sz w:val="52"/>
          <w:szCs w:val="52"/>
          <w:lang w:bidi="ar"/>
        </w:rPr>
        <w:t>编制说明</w:t>
      </w:r>
    </w:p>
    <w:p w14:paraId="728E3183" w14:textId="77777777" w:rsidR="00E4570C" w:rsidRDefault="00E4570C">
      <w:pPr>
        <w:widowControl/>
        <w:jc w:val="center"/>
        <w:rPr>
          <w:rFonts w:ascii="Times New Roman" w:eastAsiaTheme="minorEastAsia" w:hAnsi="Times New Roman"/>
          <w:color w:val="000000"/>
          <w:kern w:val="0"/>
          <w:sz w:val="36"/>
          <w:szCs w:val="36"/>
          <w:lang w:bidi="ar"/>
        </w:rPr>
      </w:pPr>
    </w:p>
    <w:p w14:paraId="3110A32D" w14:textId="77777777" w:rsidR="00E4570C" w:rsidRDefault="00E4570C">
      <w:pPr>
        <w:widowControl/>
        <w:jc w:val="center"/>
        <w:rPr>
          <w:rFonts w:ascii="Times New Roman" w:eastAsiaTheme="minorEastAsia" w:hAnsi="Times New Roman"/>
          <w:color w:val="000000"/>
          <w:kern w:val="0"/>
          <w:sz w:val="36"/>
          <w:szCs w:val="36"/>
          <w:lang w:bidi="ar"/>
        </w:rPr>
      </w:pPr>
    </w:p>
    <w:p w14:paraId="31E125AE" w14:textId="77777777" w:rsidR="00E4570C" w:rsidRDefault="00E4570C">
      <w:pPr>
        <w:widowControl/>
        <w:jc w:val="center"/>
        <w:rPr>
          <w:rFonts w:ascii="Times New Roman" w:eastAsiaTheme="minorEastAsia" w:hAnsi="Times New Roman"/>
          <w:color w:val="000000"/>
          <w:kern w:val="0"/>
          <w:sz w:val="36"/>
          <w:szCs w:val="36"/>
          <w:lang w:bidi="ar"/>
        </w:rPr>
      </w:pPr>
    </w:p>
    <w:p w14:paraId="37E31F29" w14:textId="77777777" w:rsidR="00E4570C" w:rsidRDefault="00E4570C">
      <w:pPr>
        <w:widowControl/>
        <w:jc w:val="center"/>
        <w:rPr>
          <w:rFonts w:ascii="Times New Roman" w:eastAsiaTheme="minorEastAsia" w:hAnsi="Times New Roman"/>
          <w:b/>
          <w:color w:val="000000"/>
          <w:kern w:val="0"/>
          <w:sz w:val="43"/>
          <w:szCs w:val="43"/>
          <w:lang w:bidi="ar"/>
        </w:rPr>
      </w:pPr>
    </w:p>
    <w:p w14:paraId="6650C871" w14:textId="77777777" w:rsidR="00E4570C" w:rsidRDefault="00E4570C">
      <w:pPr>
        <w:widowControl/>
        <w:jc w:val="center"/>
        <w:rPr>
          <w:rFonts w:ascii="Times New Roman" w:eastAsiaTheme="minorEastAsia" w:hAnsi="Times New Roman"/>
          <w:b/>
          <w:color w:val="000000"/>
          <w:kern w:val="0"/>
          <w:sz w:val="43"/>
          <w:szCs w:val="43"/>
          <w:lang w:bidi="ar"/>
        </w:rPr>
      </w:pPr>
    </w:p>
    <w:p w14:paraId="442681C0" w14:textId="77777777" w:rsidR="00E4570C" w:rsidRDefault="00E4570C">
      <w:pPr>
        <w:widowControl/>
        <w:jc w:val="center"/>
        <w:rPr>
          <w:rFonts w:ascii="Times New Roman" w:eastAsiaTheme="minorEastAsia" w:hAnsi="Times New Roman"/>
          <w:b/>
          <w:color w:val="000000"/>
          <w:kern w:val="0"/>
          <w:sz w:val="43"/>
          <w:szCs w:val="43"/>
          <w:lang w:bidi="ar"/>
        </w:rPr>
      </w:pPr>
    </w:p>
    <w:p w14:paraId="144C6F68" w14:textId="77777777" w:rsidR="00E4570C" w:rsidRDefault="00E4570C">
      <w:pPr>
        <w:widowControl/>
        <w:jc w:val="center"/>
        <w:rPr>
          <w:rFonts w:ascii="Times New Roman" w:eastAsiaTheme="minorEastAsia" w:hAnsi="Times New Roman"/>
          <w:b/>
          <w:color w:val="000000"/>
          <w:kern w:val="0"/>
          <w:sz w:val="43"/>
          <w:szCs w:val="43"/>
          <w:lang w:bidi="ar"/>
        </w:rPr>
      </w:pPr>
    </w:p>
    <w:p w14:paraId="535A954A" w14:textId="77777777" w:rsidR="00E4570C" w:rsidRDefault="00E4570C">
      <w:pPr>
        <w:widowControl/>
        <w:jc w:val="center"/>
        <w:rPr>
          <w:rFonts w:ascii="Times New Roman" w:eastAsiaTheme="minorEastAsia" w:hAnsi="Times New Roman"/>
          <w:b/>
          <w:color w:val="000000"/>
          <w:kern w:val="0"/>
          <w:sz w:val="43"/>
          <w:szCs w:val="43"/>
          <w:lang w:bidi="ar"/>
        </w:rPr>
      </w:pPr>
    </w:p>
    <w:p w14:paraId="551E0DAD" w14:textId="77777777" w:rsidR="00E4570C" w:rsidRDefault="00E4570C">
      <w:pPr>
        <w:widowControl/>
        <w:jc w:val="center"/>
        <w:rPr>
          <w:rFonts w:ascii="Times New Roman" w:eastAsiaTheme="minorEastAsia" w:hAnsi="Times New Roman"/>
          <w:b/>
          <w:color w:val="000000"/>
          <w:kern w:val="0"/>
          <w:sz w:val="43"/>
          <w:szCs w:val="43"/>
          <w:lang w:bidi="ar"/>
        </w:rPr>
      </w:pPr>
    </w:p>
    <w:p w14:paraId="7CFF7EDC" w14:textId="7CCCFBA8" w:rsidR="00E4570C" w:rsidRDefault="00000000">
      <w:pPr>
        <w:widowControl/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b/>
          <w:color w:val="000000"/>
          <w:kern w:val="0"/>
          <w:sz w:val="28"/>
          <w:szCs w:val="28"/>
          <w:lang w:bidi="ar"/>
        </w:rPr>
        <w:t>《茶多酚加工技术规范》供销</w:t>
      </w:r>
      <w:r w:rsidR="00091E18">
        <w:rPr>
          <w:rFonts w:ascii="Times New Roman" w:eastAsiaTheme="minorEastAsia" w:hAnsi="Times New Roman" w:hint="eastAsia"/>
          <w:b/>
          <w:color w:val="000000"/>
          <w:kern w:val="0"/>
          <w:sz w:val="28"/>
          <w:szCs w:val="28"/>
          <w:lang w:bidi="ar"/>
        </w:rPr>
        <w:t>合作</w:t>
      </w:r>
      <w:r>
        <w:rPr>
          <w:rFonts w:ascii="Times New Roman" w:eastAsiaTheme="minorEastAsia" w:hAnsi="Times New Roman"/>
          <w:b/>
          <w:color w:val="000000"/>
          <w:kern w:val="0"/>
          <w:sz w:val="28"/>
          <w:szCs w:val="28"/>
          <w:lang w:bidi="ar"/>
        </w:rPr>
        <w:t>行业标准起草小组</w:t>
      </w:r>
    </w:p>
    <w:p w14:paraId="01112099" w14:textId="36BD5FC1" w:rsidR="00E4570C" w:rsidRDefault="00000000">
      <w:pPr>
        <w:widowControl/>
        <w:jc w:val="center"/>
        <w:rPr>
          <w:rFonts w:ascii="Times New Roman" w:eastAsiaTheme="minorEastAsia" w:hAnsi="Times New Roman"/>
          <w:b/>
          <w:color w:val="000000"/>
          <w:kern w:val="0"/>
          <w:sz w:val="28"/>
          <w:szCs w:val="28"/>
          <w:lang w:bidi="ar"/>
        </w:rPr>
      </w:pPr>
      <w:r>
        <w:rPr>
          <w:rFonts w:ascii="Times New Roman" w:eastAsiaTheme="minorEastAsia" w:hAnsi="Times New Roman"/>
          <w:b/>
          <w:color w:val="000000"/>
          <w:kern w:val="0"/>
          <w:sz w:val="28"/>
          <w:szCs w:val="28"/>
          <w:lang w:bidi="ar"/>
        </w:rPr>
        <w:t>202</w:t>
      </w:r>
      <w:r>
        <w:rPr>
          <w:rFonts w:ascii="Times New Roman" w:eastAsiaTheme="minorEastAsia" w:hAnsi="Times New Roman" w:hint="eastAsia"/>
          <w:b/>
          <w:color w:val="000000"/>
          <w:kern w:val="0"/>
          <w:sz w:val="28"/>
          <w:szCs w:val="28"/>
          <w:lang w:bidi="ar"/>
        </w:rPr>
        <w:t>5</w:t>
      </w:r>
      <w:r>
        <w:rPr>
          <w:rFonts w:ascii="Times New Roman" w:eastAsiaTheme="minorEastAsia" w:hAnsi="Times New Roman"/>
          <w:b/>
          <w:color w:val="000000"/>
          <w:kern w:val="0"/>
          <w:sz w:val="28"/>
          <w:szCs w:val="28"/>
          <w:lang w:bidi="ar"/>
        </w:rPr>
        <w:t>年</w:t>
      </w:r>
      <w:r w:rsidR="00091E18">
        <w:rPr>
          <w:rFonts w:ascii="Times New Roman" w:eastAsiaTheme="minorEastAsia" w:hAnsi="Times New Roman" w:hint="eastAsia"/>
          <w:b/>
          <w:color w:val="000000"/>
          <w:kern w:val="0"/>
          <w:sz w:val="28"/>
          <w:szCs w:val="28"/>
          <w:lang w:bidi="ar"/>
        </w:rPr>
        <w:t>7</w:t>
      </w:r>
      <w:r>
        <w:rPr>
          <w:rFonts w:ascii="Times New Roman" w:eastAsiaTheme="minorEastAsia" w:hAnsi="Times New Roman"/>
          <w:b/>
          <w:color w:val="000000"/>
          <w:kern w:val="0"/>
          <w:sz w:val="28"/>
          <w:szCs w:val="28"/>
          <w:lang w:bidi="ar"/>
        </w:rPr>
        <w:t>月</w:t>
      </w:r>
    </w:p>
    <w:p w14:paraId="70B2B607" w14:textId="77777777" w:rsidR="00E4570C" w:rsidRDefault="00000000" w:rsidP="00446FFD">
      <w:pPr>
        <w:widowControl/>
        <w:jc w:val="left"/>
        <w:rPr>
          <w:rFonts w:ascii="Times New Roman" w:eastAsiaTheme="minorEastAsia" w:hAnsi="Times New Roman"/>
          <w:b/>
          <w:color w:val="000000"/>
          <w:kern w:val="0"/>
          <w:sz w:val="28"/>
          <w:szCs w:val="28"/>
          <w:lang w:bidi="ar"/>
        </w:rPr>
      </w:pPr>
      <w:r>
        <w:rPr>
          <w:rFonts w:ascii="Times New Roman" w:eastAsiaTheme="minorEastAsia" w:hAnsi="Times New Roman"/>
          <w:b/>
          <w:color w:val="000000"/>
          <w:kern w:val="0"/>
          <w:sz w:val="28"/>
          <w:szCs w:val="28"/>
          <w:lang w:bidi="ar"/>
        </w:rPr>
        <w:br w:type="page"/>
      </w:r>
    </w:p>
    <w:p w14:paraId="12FE3158" w14:textId="77777777" w:rsidR="00E4570C" w:rsidRDefault="00E4570C">
      <w:pPr>
        <w:widowControl/>
        <w:jc w:val="center"/>
        <w:rPr>
          <w:rFonts w:ascii="Times New Roman" w:eastAsiaTheme="minorEastAsia" w:hAnsi="Times New Roman"/>
          <w:b/>
          <w:color w:val="000000"/>
          <w:kern w:val="0"/>
          <w:sz w:val="28"/>
          <w:szCs w:val="28"/>
          <w:lang w:bidi="ar"/>
        </w:rPr>
      </w:pPr>
    </w:p>
    <w:p w14:paraId="50CFBA95" w14:textId="77777777" w:rsidR="00E4570C" w:rsidRDefault="00000000">
      <w:pPr>
        <w:spacing w:line="360" w:lineRule="auto"/>
        <w:jc w:val="center"/>
        <w:rPr>
          <w:rFonts w:ascii="Times New Roman" w:eastAsiaTheme="minorEastAsia" w:hAnsi="Times New Roman"/>
          <w:b/>
          <w:bCs/>
          <w:sz w:val="32"/>
          <w:szCs w:val="32"/>
        </w:rPr>
      </w:pPr>
      <w:r>
        <w:rPr>
          <w:rFonts w:ascii="Times New Roman" w:eastAsiaTheme="minorEastAsia" w:hAnsi="Times New Roman"/>
          <w:b/>
          <w:bCs/>
          <w:sz w:val="32"/>
          <w:szCs w:val="32"/>
        </w:rPr>
        <w:t>《茶多酚加工技术规范》供销</w:t>
      </w:r>
      <w:r>
        <w:rPr>
          <w:rFonts w:ascii="Times New Roman" w:eastAsiaTheme="minorEastAsia" w:hAnsi="Times New Roman" w:hint="eastAsia"/>
          <w:b/>
          <w:bCs/>
          <w:sz w:val="32"/>
          <w:szCs w:val="32"/>
        </w:rPr>
        <w:t>合作</w:t>
      </w:r>
      <w:r>
        <w:rPr>
          <w:rFonts w:ascii="Times New Roman" w:eastAsiaTheme="minorEastAsia" w:hAnsi="Times New Roman"/>
          <w:b/>
          <w:bCs/>
          <w:sz w:val="32"/>
          <w:szCs w:val="32"/>
        </w:rPr>
        <w:t>行业标准</w:t>
      </w:r>
    </w:p>
    <w:p w14:paraId="3CB7A7C1" w14:textId="77777777" w:rsidR="00E4570C" w:rsidRDefault="00000000">
      <w:pPr>
        <w:spacing w:line="360" w:lineRule="auto"/>
        <w:jc w:val="center"/>
        <w:rPr>
          <w:rFonts w:ascii="Times New Roman" w:eastAsiaTheme="minorEastAsia" w:hAnsi="Times New Roman"/>
          <w:b/>
          <w:bCs/>
          <w:sz w:val="32"/>
          <w:szCs w:val="32"/>
        </w:rPr>
      </w:pPr>
      <w:r>
        <w:rPr>
          <w:rFonts w:ascii="Times New Roman" w:eastAsiaTheme="minorEastAsia" w:hAnsi="Times New Roman"/>
          <w:b/>
          <w:bCs/>
          <w:sz w:val="32"/>
          <w:szCs w:val="32"/>
        </w:rPr>
        <w:t>编制说明</w:t>
      </w:r>
    </w:p>
    <w:p w14:paraId="6BB985F6" w14:textId="77777777" w:rsidR="00E4570C" w:rsidRDefault="00E4570C">
      <w:pPr>
        <w:spacing w:line="360" w:lineRule="auto"/>
        <w:jc w:val="center"/>
        <w:rPr>
          <w:rFonts w:ascii="Times New Roman" w:eastAsiaTheme="minorEastAsia" w:hAnsi="Times New Roman"/>
          <w:b/>
          <w:bCs/>
          <w:sz w:val="32"/>
          <w:szCs w:val="32"/>
        </w:rPr>
      </w:pPr>
    </w:p>
    <w:p w14:paraId="5AF685F9" w14:textId="77777777" w:rsidR="00E4570C" w:rsidRDefault="00000000">
      <w:pPr>
        <w:pStyle w:val="12"/>
        <w:numPr>
          <w:ilvl w:val="0"/>
          <w:numId w:val="1"/>
        </w:numPr>
        <w:adjustRightInd w:val="0"/>
        <w:snapToGrid w:val="0"/>
        <w:spacing w:line="360" w:lineRule="auto"/>
        <w:ind w:firstLineChars="0"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任务来源</w:t>
      </w:r>
    </w:p>
    <w:p w14:paraId="4178717E" w14:textId="77777777" w:rsidR="00E4570C" w:rsidRDefault="00000000">
      <w:pPr>
        <w:adjustRightInd w:val="0"/>
        <w:snapToGrid w:val="0"/>
        <w:spacing w:line="360" w:lineRule="auto"/>
        <w:ind w:firstLineChars="200" w:firstLine="480"/>
        <w:rPr>
          <w:rFonts w:ascii="Times New Roman" w:eastAsiaTheme="minorEastAsia" w:hAnsi="Times New Roman"/>
          <w:kern w:val="0"/>
          <w:sz w:val="24"/>
        </w:rPr>
      </w:pPr>
      <w:r>
        <w:rPr>
          <w:rFonts w:ascii="Times New Roman" w:eastAsiaTheme="minorEastAsia" w:hAnsi="Times New Roman"/>
          <w:kern w:val="0"/>
          <w:sz w:val="24"/>
        </w:rPr>
        <w:t>我国作为全球最大的茶叶生产国，面对</w:t>
      </w:r>
      <w:proofErr w:type="gramStart"/>
      <w:r>
        <w:rPr>
          <w:rFonts w:ascii="Times New Roman" w:eastAsiaTheme="minorEastAsia" w:hAnsi="Times New Roman"/>
          <w:kern w:val="0"/>
          <w:sz w:val="24"/>
        </w:rPr>
        <w:t>茶产业</w:t>
      </w:r>
      <w:proofErr w:type="gramEnd"/>
      <w:r>
        <w:rPr>
          <w:rFonts w:ascii="Times New Roman" w:eastAsiaTheme="minorEastAsia" w:hAnsi="Times New Roman"/>
          <w:kern w:val="0"/>
          <w:sz w:val="24"/>
        </w:rPr>
        <w:t>产能结构性过剩挑战，发展茶叶深加工已成为推动产业升级的核心路径。当前，全国茶叶深加工企业超百家，茶多酚年产量近</w:t>
      </w:r>
      <w:r>
        <w:rPr>
          <w:rFonts w:ascii="Times New Roman" w:eastAsiaTheme="minorEastAsia" w:hAnsi="Times New Roman"/>
          <w:kern w:val="0"/>
          <w:sz w:val="24"/>
        </w:rPr>
        <w:t>5000</w:t>
      </w:r>
      <w:r>
        <w:rPr>
          <w:rFonts w:ascii="Times New Roman" w:eastAsiaTheme="minorEastAsia" w:hAnsi="Times New Roman"/>
          <w:kern w:val="0"/>
          <w:sz w:val="24"/>
        </w:rPr>
        <w:t>吨，占全球总产量的</w:t>
      </w:r>
      <w:r>
        <w:rPr>
          <w:rFonts w:ascii="Times New Roman" w:eastAsiaTheme="minorEastAsia" w:hAnsi="Times New Roman"/>
          <w:kern w:val="0"/>
          <w:sz w:val="24"/>
        </w:rPr>
        <w:t>70%</w:t>
      </w:r>
      <w:r>
        <w:rPr>
          <w:rFonts w:ascii="Times New Roman" w:eastAsiaTheme="minorEastAsia" w:hAnsi="Times New Roman"/>
          <w:kern w:val="0"/>
          <w:sz w:val="24"/>
        </w:rPr>
        <w:t>以上，产品远销日本、美国、欧盟及东南亚等国际市场。然而，行业长期面临加工技术标准缺失的瓶颈，对生产工艺绿色化、过程控制标准化等关键环节缺乏系统规范，不利于推动茶多酚行业的整体科技进步。</w:t>
      </w:r>
    </w:p>
    <w:p w14:paraId="4E98B628" w14:textId="427A5BDC" w:rsidR="00E4570C" w:rsidRDefault="00000000">
      <w:pPr>
        <w:adjustRightInd w:val="0"/>
        <w:snapToGrid w:val="0"/>
        <w:spacing w:line="360" w:lineRule="auto"/>
        <w:ind w:firstLineChars="200" w:firstLine="480"/>
        <w:rPr>
          <w:rFonts w:ascii="Times New Roman" w:eastAsiaTheme="minorEastAsia" w:hAnsi="Times New Roman"/>
          <w:kern w:val="0"/>
          <w:sz w:val="24"/>
        </w:rPr>
      </w:pPr>
      <w:r>
        <w:rPr>
          <w:rFonts w:ascii="Times New Roman" w:eastAsiaTheme="minorEastAsia" w:hAnsi="Times New Roman"/>
          <w:kern w:val="0"/>
          <w:sz w:val="24"/>
        </w:rPr>
        <w:t>《茶多酚加工技术规范》供销行业标准是根据中华全国供销合作总社科教社团部《中华全国供销合作总社科教社团部关于下达</w:t>
      </w:r>
      <w:r>
        <w:rPr>
          <w:rFonts w:ascii="Times New Roman" w:eastAsiaTheme="minorEastAsia" w:hAnsi="Times New Roman"/>
          <w:kern w:val="0"/>
          <w:sz w:val="24"/>
        </w:rPr>
        <w:t>2020</w:t>
      </w:r>
      <w:r>
        <w:rPr>
          <w:rFonts w:ascii="Times New Roman" w:eastAsiaTheme="minorEastAsia" w:hAnsi="Times New Roman"/>
          <w:kern w:val="0"/>
          <w:sz w:val="24"/>
        </w:rPr>
        <w:t>年度供销合作行业标准项目计划</w:t>
      </w:r>
      <w:r>
        <w:rPr>
          <w:rFonts w:ascii="Times New Roman" w:eastAsiaTheme="minorEastAsia" w:hAnsi="Times New Roman"/>
          <w:kern w:val="0"/>
          <w:sz w:val="24"/>
        </w:rPr>
        <w:t>(</w:t>
      </w:r>
      <w:r>
        <w:rPr>
          <w:rFonts w:ascii="Times New Roman" w:eastAsiaTheme="minorEastAsia" w:hAnsi="Times New Roman"/>
          <w:kern w:val="0"/>
          <w:sz w:val="24"/>
        </w:rPr>
        <w:t>第三批</w:t>
      </w:r>
      <w:r>
        <w:rPr>
          <w:rFonts w:ascii="Times New Roman" w:eastAsiaTheme="minorEastAsia" w:hAnsi="Times New Roman"/>
          <w:kern w:val="0"/>
          <w:sz w:val="24"/>
        </w:rPr>
        <w:t>)</w:t>
      </w:r>
      <w:r>
        <w:rPr>
          <w:rFonts w:ascii="Times New Roman" w:eastAsiaTheme="minorEastAsia" w:hAnsi="Times New Roman"/>
          <w:kern w:val="0"/>
          <w:sz w:val="24"/>
        </w:rPr>
        <w:t>的通知》（供销科</w:t>
      </w:r>
      <w:proofErr w:type="gramStart"/>
      <w:r>
        <w:rPr>
          <w:rFonts w:ascii="Times New Roman" w:eastAsiaTheme="minorEastAsia" w:hAnsi="Times New Roman"/>
          <w:kern w:val="0"/>
          <w:sz w:val="24"/>
        </w:rPr>
        <w:t>社标便</w:t>
      </w:r>
      <w:proofErr w:type="gramEnd"/>
      <w:r>
        <w:rPr>
          <w:rFonts w:ascii="Times New Roman" w:eastAsiaTheme="minorEastAsia" w:hAnsi="Times New Roman"/>
          <w:kern w:val="0"/>
          <w:sz w:val="24"/>
        </w:rPr>
        <w:t>字</w:t>
      </w:r>
      <w:r>
        <w:rPr>
          <w:rFonts w:ascii="Times New Roman" w:eastAsiaTheme="minorEastAsia" w:hAnsi="Times New Roman"/>
          <w:kern w:val="0"/>
          <w:sz w:val="24"/>
        </w:rPr>
        <w:t>[2020]32</w:t>
      </w:r>
      <w:r>
        <w:rPr>
          <w:rFonts w:ascii="Times New Roman" w:eastAsiaTheme="minorEastAsia" w:hAnsi="Times New Roman"/>
          <w:kern w:val="0"/>
          <w:sz w:val="24"/>
        </w:rPr>
        <w:t>号）文件精神，由中华全国供销合作总社杭州茶叶研究所牵头承担《茶多酚加工技术规范》行业标准的起草和制定工作，标准制定的计划编号为</w:t>
      </w:r>
      <w:r>
        <w:rPr>
          <w:rFonts w:ascii="Times New Roman" w:eastAsiaTheme="minorEastAsia" w:hAnsi="Times New Roman"/>
          <w:kern w:val="0"/>
          <w:sz w:val="24"/>
        </w:rPr>
        <w:t>2020GH-ZD-33</w:t>
      </w:r>
      <w:r>
        <w:rPr>
          <w:rFonts w:ascii="Times New Roman" w:eastAsiaTheme="minorEastAsia" w:hAnsi="Times New Roman"/>
          <w:kern w:val="0"/>
          <w:sz w:val="24"/>
        </w:rPr>
        <w:t>。通过标准研制发布，更好规范茶多酚过程质量控制和生产工艺标准化，引导茶多酚生产加工企业采</w:t>
      </w:r>
      <w:r w:rsidRPr="00F02AC0">
        <w:rPr>
          <w:rFonts w:ascii="Times New Roman" w:eastAsiaTheme="minorEastAsia" w:hAnsi="Times New Roman"/>
          <w:kern w:val="0"/>
          <w:sz w:val="24"/>
        </w:rPr>
        <w:t>用</w:t>
      </w:r>
      <w:r w:rsidRPr="00F02AC0">
        <w:rPr>
          <w:rFonts w:ascii="Times New Roman" w:eastAsiaTheme="minorEastAsia" w:hAnsi="Times New Roman" w:hint="eastAsia"/>
          <w:kern w:val="0"/>
          <w:sz w:val="24"/>
        </w:rPr>
        <w:t>绿色、高效、</w:t>
      </w:r>
      <w:r w:rsidR="00446FFD" w:rsidRPr="00F02AC0">
        <w:rPr>
          <w:rFonts w:ascii="Times New Roman" w:eastAsiaTheme="minorEastAsia" w:hAnsi="Times New Roman" w:hint="eastAsia"/>
          <w:kern w:val="0"/>
          <w:sz w:val="24"/>
        </w:rPr>
        <w:t>低碳、</w:t>
      </w:r>
      <w:r w:rsidRPr="00F02AC0">
        <w:rPr>
          <w:rFonts w:ascii="Times New Roman" w:eastAsiaTheme="minorEastAsia" w:hAnsi="Times New Roman" w:hint="eastAsia"/>
          <w:kern w:val="0"/>
          <w:sz w:val="24"/>
        </w:rPr>
        <w:t>节能</w:t>
      </w:r>
      <w:r w:rsidRPr="00F02AC0">
        <w:rPr>
          <w:rFonts w:ascii="Times New Roman" w:eastAsiaTheme="minorEastAsia" w:hAnsi="Times New Roman"/>
          <w:kern w:val="0"/>
          <w:sz w:val="24"/>
        </w:rPr>
        <w:t>的先进工艺，</w:t>
      </w:r>
      <w:r>
        <w:rPr>
          <w:rFonts w:ascii="Times New Roman" w:eastAsiaTheme="minorEastAsia" w:hAnsi="Times New Roman"/>
          <w:kern w:val="0"/>
          <w:sz w:val="24"/>
        </w:rPr>
        <w:t>推动茶多酚国内外贸易的开展和</w:t>
      </w:r>
      <w:proofErr w:type="gramStart"/>
      <w:r>
        <w:rPr>
          <w:rFonts w:ascii="Times New Roman" w:eastAsiaTheme="minorEastAsia" w:hAnsi="Times New Roman"/>
          <w:kern w:val="0"/>
          <w:sz w:val="24"/>
        </w:rPr>
        <w:t>茶多酚</w:t>
      </w:r>
      <w:proofErr w:type="gramEnd"/>
      <w:r>
        <w:rPr>
          <w:rFonts w:ascii="Times New Roman" w:eastAsiaTheme="minorEastAsia" w:hAnsi="Times New Roman"/>
          <w:kern w:val="0"/>
          <w:sz w:val="24"/>
        </w:rPr>
        <w:t>市场的健康发展，稳定产品性状，引领产业绿色、提质、增效。</w:t>
      </w:r>
    </w:p>
    <w:p w14:paraId="3EBBB8D6" w14:textId="77777777" w:rsidR="00E4570C" w:rsidRDefault="00E4570C">
      <w:pPr>
        <w:adjustRightInd w:val="0"/>
        <w:snapToGrid w:val="0"/>
        <w:spacing w:line="360" w:lineRule="auto"/>
        <w:rPr>
          <w:rFonts w:ascii="Times New Roman" w:eastAsiaTheme="minorEastAsia" w:hAnsi="Times New Roman"/>
          <w:sz w:val="24"/>
        </w:rPr>
      </w:pPr>
    </w:p>
    <w:p w14:paraId="4EFE6661" w14:textId="77777777" w:rsidR="00E4570C" w:rsidRDefault="00000000">
      <w:pPr>
        <w:pStyle w:val="1"/>
        <w:rPr>
          <w:rFonts w:ascii="Times New Roman" w:eastAsiaTheme="minorEastAsia" w:hAnsi="Times New Roman"/>
          <w:b w:val="0"/>
          <w:iCs/>
          <w:szCs w:val="21"/>
        </w:rPr>
      </w:pPr>
      <w:r>
        <w:rPr>
          <w:rFonts w:ascii="Times New Roman" w:eastAsiaTheme="minorEastAsia" w:hAnsi="Times New Roman" w:hint="eastAsia"/>
          <w:bCs/>
          <w:iCs/>
          <w:szCs w:val="21"/>
        </w:rPr>
        <w:t>二</w:t>
      </w:r>
      <w:r>
        <w:rPr>
          <w:rFonts w:ascii="Times New Roman" w:eastAsiaTheme="minorEastAsia" w:hAnsi="Times New Roman"/>
          <w:bCs/>
          <w:iCs/>
          <w:szCs w:val="21"/>
        </w:rPr>
        <w:t>、标准制定的背景及必要性</w:t>
      </w:r>
    </w:p>
    <w:p w14:paraId="10AA82D7" w14:textId="77777777" w:rsidR="00E4570C" w:rsidRDefault="00000000">
      <w:pPr>
        <w:adjustRightInd w:val="0"/>
        <w:snapToGrid w:val="0"/>
        <w:spacing w:line="360" w:lineRule="auto"/>
        <w:outlineLvl w:val="1"/>
        <w:rPr>
          <w:rFonts w:ascii="Times New Roman" w:eastAsiaTheme="minorEastAsia" w:hAnsi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/>
          <w:b/>
          <w:bCs/>
          <w:sz w:val="28"/>
          <w:szCs w:val="28"/>
        </w:rPr>
        <w:t xml:space="preserve">1. </w:t>
      </w:r>
      <w:r>
        <w:rPr>
          <w:rFonts w:ascii="Times New Roman" w:eastAsiaTheme="minorEastAsia" w:hAnsi="Times New Roman"/>
          <w:b/>
          <w:bCs/>
          <w:sz w:val="28"/>
          <w:szCs w:val="28"/>
        </w:rPr>
        <w:t>标准制定的背景</w:t>
      </w:r>
    </w:p>
    <w:p w14:paraId="1FDEAC32" w14:textId="77777777" w:rsidR="00E4570C" w:rsidRDefault="00000000">
      <w:pPr>
        <w:adjustRightInd w:val="0"/>
        <w:snapToGrid w:val="0"/>
        <w:spacing w:line="360" w:lineRule="auto"/>
        <w:ind w:firstLineChars="200" w:firstLine="480"/>
        <w:outlineLvl w:val="1"/>
        <w:rPr>
          <w:rFonts w:ascii="Times New Roman" w:eastAsiaTheme="minorEastAsia" w:hAnsi="Times New Roman"/>
          <w:bCs/>
          <w:sz w:val="24"/>
        </w:rPr>
      </w:pPr>
      <w:r>
        <w:rPr>
          <w:rFonts w:ascii="Times New Roman" w:eastAsiaTheme="minorEastAsia" w:hAnsi="Times New Roman"/>
          <w:bCs/>
          <w:sz w:val="24"/>
        </w:rPr>
        <w:t>随着我国</w:t>
      </w:r>
      <w:proofErr w:type="gramStart"/>
      <w:r>
        <w:rPr>
          <w:rFonts w:ascii="Times New Roman" w:eastAsiaTheme="minorEastAsia" w:hAnsi="Times New Roman"/>
          <w:bCs/>
          <w:sz w:val="24"/>
        </w:rPr>
        <w:t>茶产业</w:t>
      </w:r>
      <w:proofErr w:type="gramEnd"/>
      <w:r>
        <w:rPr>
          <w:rFonts w:ascii="Times New Roman" w:eastAsiaTheme="minorEastAsia" w:hAnsi="Times New Roman"/>
          <w:bCs/>
          <w:sz w:val="24"/>
        </w:rPr>
        <w:t>规模持续扩大，产能结构性过剩问题日益凸显。据国家统计局数据显示，</w:t>
      </w:r>
      <w:r>
        <w:rPr>
          <w:rFonts w:ascii="Times New Roman" w:eastAsiaTheme="minorEastAsia" w:hAnsi="Times New Roman"/>
          <w:bCs/>
          <w:sz w:val="24"/>
        </w:rPr>
        <w:t>2024</w:t>
      </w:r>
      <w:r>
        <w:rPr>
          <w:rFonts w:ascii="Times New Roman" w:eastAsiaTheme="minorEastAsia" w:hAnsi="Times New Roman"/>
          <w:bCs/>
          <w:sz w:val="24"/>
        </w:rPr>
        <w:t>年全国茶园面积</w:t>
      </w:r>
      <w:r>
        <w:rPr>
          <w:rFonts w:ascii="Times New Roman" w:eastAsiaTheme="minorEastAsia" w:hAnsi="Times New Roman"/>
          <w:bCs/>
          <w:sz w:val="24"/>
        </w:rPr>
        <w:t>5250</w:t>
      </w:r>
      <w:r>
        <w:rPr>
          <w:rFonts w:ascii="Times New Roman" w:eastAsiaTheme="minorEastAsia" w:hAnsi="Times New Roman"/>
          <w:bCs/>
          <w:sz w:val="24"/>
        </w:rPr>
        <w:t>万亩，干毛茶总产量突破</w:t>
      </w:r>
      <w:r>
        <w:rPr>
          <w:rFonts w:ascii="Times New Roman" w:eastAsiaTheme="minorEastAsia" w:hAnsi="Times New Roman"/>
          <w:bCs/>
          <w:sz w:val="24"/>
        </w:rPr>
        <w:t>345</w:t>
      </w:r>
      <w:r>
        <w:rPr>
          <w:rFonts w:ascii="Times New Roman" w:eastAsiaTheme="minorEastAsia" w:hAnsi="Times New Roman"/>
          <w:bCs/>
          <w:sz w:val="24"/>
        </w:rPr>
        <w:t>万吨，总产值</w:t>
      </w:r>
      <w:r>
        <w:rPr>
          <w:rFonts w:ascii="Times New Roman" w:eastAsiaTheme="minorEastAsia" w:hAnsi="Times New Roman"/>
          <w:bCs/>
          <w:sz w:val="24"/>
        </w:rPr>
        <w:t>3345</w:t>
      </w:r>
      <w:r>
        <w:rPr>
          <w:rFonts w:ascii="Times New Roman" w:eastAsiaTheme="minorEastAsia" w:hAnsi="Times New Roman"/>
          <w:bCs/>
          <w:sz w:val="24"/>
        </w:rPr>
        <w:t>亿元，茶叶产量</w:t>
      </w:r>
      <w:r>
        <w:rPr>
          <w:rFonts w:ascii="Times New Roman" w:eastAsiaTheme="minorEastAsia" w:hAnsi="Times New Roman"/>
          <w:bCs/>
          <w:sz w:val="24"/>
        </w:rPr>
        <w:t>374</w:t>
      </w:r>
      <w:r>
        <w:rPr>
          <w:rFonts w:ascii="Times New Roman" w:eastAsiaTheme="minorEastAsia" w:hAnsi="Times New Roman"/>
          <w:bCs/>
          <w:sz w:val="24"/>
        </w:rPr>
        <w:t>万吨，增产</w:t>
      </w:r>
      <w:r>
        <w:rPr>
          <w:rFonts w:ascii="Times New Roman" w:eastAsiaTheme="minorEastAsia" w:hAnsi="Times New Roman"/>
          <w:bCs/>
          <w:sz w:val="24"/>
        </w:rPr>
        <w:t>5.5%</w:t>
      </w:r>
      <w:r>
        <w:rPr>
          <w:rFonts w:ascii="Times New Roman" w:eastAsiaTheme="minorEastAsia" w:hAnsi="Times New Roman"/>
          <w:bCs/>
          <w:sz w:val="24"/>
        </w:rPr>
        <w:t>。</w:t>
      </w:r>
      <w:r>
        <w:rPr>
          <w:rFonts w:ascii="Times New Roman" w:eastAsiaTheme="minorEastAsia" w:hAnsi="Times New Roman"/>
          <w:bCs/>
          <w:sz w:val="24"/>
        </w:rPr>
        <w:t>2024</w:t>
      </w:r>
      <w:r>
        <w:rPr>
          <w:rFonts w:ascii="Times New Roman" w:eastAsiaTheme="minorEastAsia" w:hAnsi="Times New Roman"/>
          <w:bCs/>
          <w:sz w:val="24"/>
        </w:rPr>
        <w:t>年全国茶叶内销总量近</w:t>
      </w:r>
      <w:r>
        <w:rPr>
          <w:rFonts w:ascii="Times New Roman" w:eastAsiaTheme="minorEastAsia" w:hAnsi="Times New Roman"/>
          <w:bCs/>
          <w:sz w:val="24"/>
        </w:rPr>
        <w:t>250</w:t>
      </w:r>
      <w:r>
        <w:rPr>
          <w:rFonts w:ascii="Times New Roman" w:eastAsiaTheme="minorEastAsia" w:hAnsi="Times New Roman"/>
          <w:bCs/>
          <w:sz w:val="24"/>
        </w:rPr>
        <w:t>万吨，出口量保持在</w:t>
      </w:r>
      <w:r>
        <w:rPr>
          <w:rFonts w:ascii="Times New Roman" w:eastAsiaTheme="minorEastAsia" w:hAnsi="Times New Roman"/>
          <w:bCs/>
          <w:sz w:val="24"/>
        </w:rPr>
        <w:t>36.5</w:t>
      </w:r>
      <w:r>
        <w:rPr>
          <w:rFonts w:ascii="Times New Roman" w:eastAsiaTheme="minorEastAsia" w:hAnsi="Times New Roman"/>
          <w:bCs/>
          <w:sz w:val="24"/>
        </w:rPr>
        <w:t>万吨左右，凸显传统初加工模式已难以有效消纳产能扩张压力。在此背景下，茶叶深加工成为突破产业增长瓶颈、实现价值链跃升的战略选择。当前，我国茶叶深加工产业通过</w:t>
      </w:r>
      <w:r>
        <w:rPr>
          <w:rFonts w:ascii="Times New Roman" w:eastAsiaTheme="minorEastAsia" w:hAnsi="Times New Roman"/>
          <w:bCs/>
          <w:sz w:val="24"/>
        </w:rPr>
        <w:t>15</w:t>
      </w:r>
      <w:r>
        <w:rPr>
          <w:rFonts w:ascii="Times New Roman" w:eastAsiaTheme="minorEastAsia" w:hAnsi="Times New Roman"/>
          <w:bCs/>
          <w:sz w:val="24"/>
        </w:rPr>
        <w:t>万吨原料（占茶叶总产量的</w:t>
      </w:r>
      <w:r>
        <w:rPr>
          <w:rFonts w:ascii="Times New Roman" w:eastAsiaTheme="minorEastAsia" w:hAnsi="Times New Roman"/>
          <w:bCs/>
          <w:sz w:val="24"/>
        </w:rPr>
        <w:lastRenderedPageBreak/>
        <w:t>8%-9%</w:t>
      </w:r>
      <w:r>
        <w:rPr>
          <w:rFonts w:ascii="Times New Roman" w:eastAsiaTheme="minorEastAsia" w:hAnsi="Times New Roman"/>
          <w:bCs/>
          <w:sz w:val="24"/>
        </w:rPr>
        <w:t>）的集约化利用，创造了超过</w:t>
      </w:r>
      <w:r>
        <w:rPr>
          <w:rFonts w:ascii="Times New Roman" w:eastAsiaTheme="minorEastAsia" w:hAnsi="Times New Roman"/>
          <w:bCs/>
          <w:sz w:val="24"/>
        </w:rPr>
        <w:t>1200</w:t>
      </w:r>
      <w:r>
        <w:rPr>
          <w:rFonts w:ascii="Times New Roman" w:eastAsiaTheme="minorEastAsia" w:hAnsi="Times New Roman"/>
          <w:bCs/>
          <w:sz w:val="24"/>
        </w:rPr>
        <w:t>亿元的产值规模，</w:t>
      </w:r>
      <w:proofErr w:type="gramStart"/>
      <w:r>
        <w:rPr>
          <w:rFonts w:ascii="Times New Roman" w:eastAsiaTheme="minorEastAsia" w:hAnsi="Times New Roman"/>
          <w:bCs/>
          <w:sz w:val="24"/>
        </w:rPr>
        <w:t>占茶产业</w:t>
      </w:r>
      <w:proofErr w:type="gramEnd"/>
      <w:r>
        <w:rPr>
          <w:rFonts w:ascii="Times New Roman" w:eastAsiaTheme="minorEastAsia" w:hAnsi="Times New Roman"/>
          <w:bCs/>
          <w:sz w:val="24"/>
        </w:rPr>
        <w:t>总产值的</w:t>
      </w:r>
      <w:r>
        <w:rPr>
          <w:rFonts w:ascii="Times New Roman" w:eastAsiaTheme="minorEastAsia" w:hAnsi="Times New Roman"/>
          <w:bCs/>
          <w:sz w:val="24"/>
        </w:rPr>
        <w:t>1/3</w:t>
      </w:r>
      <w:r>
        <w:rPr>
          <w:rFonts w:ascii="Times New Roman" w:eastAsiaTheme="minorEastAsia" w:hAnsi="Times New Roman"/>
          <w:bCs/>
          <w:sz w:val="24"/>
        </w:rPr>
        <w:t>，其单位原料价值转化率</w:t>
      </w:r>
      <w:proofErr w:type="gramStart"/>
      <w:r>
        <w:rPr>
          <w:rFonts w:ascii="Times New Roman" w:eastAsiaTheme="minorEastAsia" w:hAnsi="Times New Roman"/>
          <w:bCs/>
          <w:sz w:val="24"/>
        </w:rPr>
        <w:t>达传统</w:t>
      </w:r>
      <w:proofErr w:type="gramEnd"/>
      <w:r>
        <w:rPr>
          <w:rFonts w:ascii="Times New Roman" w:eastAsiaTheme="minorEastAsia" w:hAnsi="Times New Roman"/>
          <w:bCs/>
          <w:sz w:val="24"/>
        </w:rPr>
        <w:t>初加工的</w:t>
      </w:r>
      <w:r>
        <w:rPr>
          <w:rFonts w:ascii="Times New Roman" w:eastAsiaTheme="minorEastAsia" w:hAnsi="Times New Roman"/>
          <w:bCs/>
          <w:sz w:val="24"/>
        </w:rPr>
        <w:t>6-8</w:t>
      </w:r>
      <w:r>
        <w:rPr>
          <w:rFonts w:ascii="Times New Roman" w:eastAsiaTheme="minorEastAsia" w:hAnsi="Times New Roman"/>
          <w:bCs/>
          <w:sz w:val="24"/>
        </w:rPr>
        <w:t>倍。茶多酚作为茶叶功能成分提取的核心品类，在食品添加剂、保健食品、医药原料等领域的市场需求年均增速达</w:t>
      </w:r>
      <w:r>
        <w:rPr>
          <w:rFonts w:ascii="Times New Roman" w:eastAsiaTheme="minorEastAsia" w:hAnsi="Times New Roman"/>
          <w:bCs/>
          <w:sz w:val="24"/>
        </w:rPr>
        <w:t>12%</w:t>
      </w:r>
      <w:r>
        <w:rPr>
          <w:rFonts w:ascii="Times New Roman" w:eastAsiaTheme="minorEastAsia" w:hAnsi="Times New Roman"/>
          <w:bCs/>
          <w:sz w:val="24"/>
        </w:rPr>
        <w:t>，已成为驱动产业升级的重要增长极。</w:t>
      </w:r>
      <w:r>
        <w:rPr>
          <w:rFonts w:ascii="Times New Roman" w:eastAsiaTheme="minorEastAsia" w:hAnsi="Times New Roman"/>
          <w:bCs/>
          <w:sz w:val="24"/>
        </w:rPr>
        <w:t xml:space="preserve">  </w:t>
      </w:r>
    </w:p>
    <w:p w14:paraId="691C0316" w14:textId="77777777" w:rsidR="00E4570C" w:rsidRDefault="00000000">
      <w:pPr>
        <w:adjustRightInd w:val="0"/>
        <w:snapToGrid w:val="0"/>
        <w:spacing w:line="360" w:lineRule="auto"/>
        <w:ind w:firstLineChars="200" w:firstLine="480"/>
        <w:outlineLvl w:val="1"/>
        <w:rPr>
          <w:rFonts w:ascii="Times New Roman" w:eastAsiaTheme="minorEastAsia" w:hAnsi="Times New Roman"/>
          <w:bCs/>
          <w:sz w:val="24"/>
        </w:rPr>
      </w:pPr>
      <w:r>
        <w:rPr>
          <w:rFonts w:ascii="Times New Roman" w:eastAsiaTheme="minorEastAsia" w:hAnsi="Times New Roman"/>
          <w:bCs/>
          <w:sz w:val="24"/>
        </w:rPr>
        <w:t>在全球气候变化治理框架下，我国</w:t>
      </w:r>
      <w:proofErr w:type="gramStart"/>
      <w:r>
        <w:rPr>
          <w:rFonts w:ascii="Times New Roman" w:eastAsiaTheme="minorEastAsia" w:hAnsi="Times New Roman"/>
          <w:bCs/>
          <w:sz w:val="24"/>
        </w:rPr>
        <w:t>将碳达</w:t>
      </w:r>
      <w:proofErr w:type="gramEnd"/>
      <w:r>
        <w:rPr>
          <w:rFonts w:ascii="Times New Roman" w:eastAsiaTheme="minorEastAsia" w:hAnsi="Times New Roman"/>
          <w:bCs/>
          <w:sz w:val="24"/>
        </w:rPr>
        <w:t>峰、碳中和纳入生态文明建设整体布局。党的二十大报告明确提出</w:t>
      </w:r>
      <w:r>
        <w:rPr>
          <w:rFonts w:ascii="Times New Roman" w:eastAsiaTheme="minorEastAsia" w:hAnsi="Times New Roman"/>
          <w:bCs/>
          <w:sz w:val="24"/>
        </w:rPr>
        <w:t>"</w:t>
      </w:r>
      <w:r>
        <w:rPr>
          <w:rFonts w:ascii="Times New Roman" w:eastAsiaTheme="minorEastAsia" w:hAnsi="Times New Roman"/>
          <w:bCs/>
          <w:sz w:val="24"/>
        </w:rPr>
        <w:t>推动制造业高端化、智能化、绿色化发展</w:t>
      </w:r>
      <w:r>
        <w:rPr>
          <w:rFonts w:ascii="Times New Roman" w:eastAsiaTheme="minorEastAsia" w:hAnsi="Times New Roman"/>
          <w:bCs/>
          <w:sz w:val="24"/>
        </w:rPr>
        <w:t>"</w:t>
      </w:r>
      <w:r>
        <w:rPr>
          <w:rFonts w:ascii="Times New Roman" w:eastAsiaTheme="minorEastAsia" w:hAnsi="Times New Roman"/>
          <w:bCs/>
          <w:sz w:val="24"/>
        </w:rPr>
        <w:t>的战略部署，《</w:t>
      </w:r>
      <w:r>
        <w:rPr>
          <w:rFonts w:ascii="Times New Roman" w:eastAsiaTheme="minorEastAsia" w:hAnsi="Times New Roman"/>
          <w:bCs/>
          <w:sz w:val="24"/>
        </w:rPr>
        <w:t>"</w:t>
      </w:r>
      <w:r>
        <w:rPr>
          <w:rFonts w:ascii="Times New Roman" w:eastAsiaTheme="minorEastAsia" w:hAnsi="Times New Roman"/>
          <w:bCs/>
          <w:sz w:val="24"/>
        </w:rPr>
        <w:t>十四五</w:t>
      </w:r>
      <w:r>
        <w:rPr>
          <w:rFonts w:ascii="Times New Roman" w:eastAsiaTheme="minorEastAsia" w:hAnsi="Times New Roman"/>
          <w:bCs/>
          <w:sz w:val="24"/>
        </w:rPr>
        <w:t>"</w:t>
      </w:r>
      <w:r>
        <w:rPr>
          <w:rFonts w:ascii="Times New Roman" w:eastAsiaTheme="minorEastAsia" w:hAnsi="Times New Roman"/>
          <w:bCs/>
          <w:sz w:val="24"/>
        </w:rPr>
        <w:t>节能减排综合工作方案》更对食品加工行业设定单位产值能耗下降</w:t>
      </w:r>
      <w:r>
        <w:rPr>
          <w:rFonts w:ascii="Times New Roman" w:eastAsiaTheme="minorEastAsia" w:hAnsi="Times New Roman"/>
          <w:bCs/>
          <w:sz w:val="24"/>
        </w:rPr>
        <w:t>13.5%</w:t>
      </w:r>
      <w:r>
        <w:rPr>
          <w:rFonts w:ascii="Times New Roman" w:eastAsiaTheme="minorEastAsia" w:hAnsi="Times New Roman"/>
          <w:bCs/>
          <w:sz w:val="24"/>
        </w:rPr>
        <w:t>的硬性指标。茶多酚加工作为典型生物制造领域，其技术路线选择直接影响全产业链的绿色发展效能。然而现行生产体系仍存在绿色技术渗透率低、过程碳排放强度高等突出问题：传统工艺平均能耗强度高，溶剂综合回收率低，与《中国制造</w:t>
      </w:r>
      <w:r>
        <w:rPr>
          <w:rFonts w:ascii="Times New Roman" w:eastAsiaTheme="minorEastAsia" w:hAnsi="Times New Roman"/>
          <w:bCs/>
          <w:sz w:val="24"/>
        </w:rPr>
        <w:t>2025</w:t>
      </w:r>
      <w:r>
        <w:rPr>
          <w:rFonts w:ascii="Times New Roman" w:eastAsiaTheme="minorEastAsia" w:hAnsi="Times New Roman"/>
          <w:bCs/>
          <w:sz w:val="24"/>
        </w:rPr>
        <w:t>》中绿色制造标准体系的要求存在显著差距。建立具有低碳导向的茶多酚加工技术标准，已成为落实</w:t>
      </w:r>
      <w:proofErr w:type="gramStart"/>
      <w:r>
        <w:rPr>
          <w:rFonts w:ascii="Times New Roman" w:eastAsiaTheme="minorEastAsia" w:hAnsi="Times New Roman"/>
          <w:bCs/>
          <w:sz w:val="24"/>
        </w:rPr>
        <w:t>国家双碳</w:t>
      </w:r>
      <w:proofErr w:type="gramEnd"/>
      <w:r>
        <w:rPr>
          <w:rFonts w:ascii="Times New Roman" w:eastAsiaTheme="minorEastAsia" w:hAnsi="Times New Roman"/>
          <w:bCs/>
          <w:sz w:val="24"/>
        </w:rPr>
        <w:t>战略、实现</w:t>
      </w:r>
      <w:proofErr w:type="gramStart"/>
      <w:r>
        <w:rPr>
          <w:rFonts w:ascii="Times New Roman" w:eastAsiaTheme="minorEastAsia" w:hAnsi="Times New Roman"/>
          <w:bCs/>
          <w:sz w:val="24"/>
        </w:rPr>
        <w:t>茶产业</w:t>
      </w:r>
      <w:proofErr w:type="gramEnd"/>
      <w:r>
        <w:rPr>
          <w:rFonts w:ascii="Times New Roman" w:eastAsiaTheme="minorEastAsia" w:hAnsi="Times New Roman"/>
          <w:bCs/>
          <w:sz w:val="24"/>
        </w:rPr>
        <w:t>绿色转型的必然要求。</w:t>
      </w:r>
      <w:r>
        <w:rPr>
          <w:rFonts w:ascii="Times New Roman" w:eastAsiaTheme="minorEastAsia" w:hAnsi="Times New Roman"/>
          <w:bCs/>
          <w:sz w:val="24"/>
        </w:rPr>
        <w:t xml:space="preserve">  </w:t>
      </w:r>
    </w:p>
    <w:p w14:paraId="2AB5C905" w14:textId="77777777" w:rsidR="00E4570C" w:rsidRDefault="00000000">
      <w:pPr>
        <w:adjustRightInd w:val="0"/>
        <w:snapToGrid w:val="0"/>
        <w:spacing w:line="360" w:lineRule="auto"/>
        <w:ind w:firstLineChars="200" w:firstLine="480"/>
        <w:outlineLvl w:val="1"/>
        <w:rPr>
          <w:rFonts w:ascii="Times New Roman" w:eastAsiaTheme="minorEastAsia" w:hAnsi="Times New Roman"/>
          <w:bCs/>
          <w:sz w:val="24"/>
        </w:rPr>
      </w:pPr>
      <w:r>
        <w:rPr>
          <w:rFonts w:ascii="Times New Roman" w:eastAsiaTheme="minorEastAsia" w:hAnsi="Times New Roman"/>
          <w:bCs/>
          <w:sz w:val="24"/>
        </w:rPr>
        <w:t>当前茶多酚加工业面临三重发展瓶颈，亟需通过标准化建设实现系统性突破：</w:t>
      </w:r>
      <w:r>
        <w:rPr>
          <w:rFonts w:ascii="Times New Roman" w:eastAsiaTheme="minorEastAsia" w:hAnsi="Times New Roman"/>
          <w:b/>
          <w:sz w:val="24"/>
        </w:rPr>
        <w:t>（</w:t>
      </w:r>
      <w:r>
        <w:rPr>
          <w:rFonts w:ascii="Times New Roman" w:eastAsiaTheme="minorEastAsia" w:hAnsi="Times New Roman"/>
          <w:b/>
          <w:sz w:val="24"/>
        </w:rPr>
        <w:t>1</w:t>
      </w:r>
      <w:r>
        <w:rPr>
          <w:rFonts w:ascii="Times New Roman" w:eastAsiaTheme="minorEastAsia" w:hAnsi="Times New Roman"/>
          <w:b/>
          <w:sz w:val="24"/>
        </w:rPr>
        <w:t>）技术标准化缺失制约产业升级。</w:t>
      </w:r>
      <w:r>
        <w:rPr>
          <w:rFonts w:ascii="Times New Roman" w:eastAsiaTheme="minorEastAsia" w:hAnsi="Times New Roman"/>
          <w:bCs/>
          <w:sz w:val="24"/>
        </w:rPr>
        <w:t>行业现存工艺参数、装备选型、过程控制等关键要素缺乏统一规范，导致产品质量稳定性严重不足。这种质量离散性严重制约产品在药品原料、功能性食品等高端市场的应用拓展。</w:t>
      </w:r>
      <w:r>
        <w:rPr>
          <w:rFonts w:ascii="Times New Roman" w:eastAsiaTheme="minorEastAsia" w:hAnsi="Times New Roman"/>
          <w:b/>
          <w:sz w:val="24"/>
        </w:rPr>
        <w:t>（</w:t>
      </w:r>
      <w:r>
        <w:rPr>
          <w:rFonts w:ascii="Times New Roman" w:eastAsiaTheme="minorEastAsia" w:hAnsi="Times New Roman"/>
          <w:b/>
          <w:sz w:val="24"/>
        </w:rPr>
        <w:t>2</w:t>
      </w:r>
      <w:r>
        <w:rPr>
          <w:rFonts w:ascii="Times New Roman" w:eastAsiaTheme="minorEastAsia" w:hAnsi="Times New Roman"/>
          <w:b/>
          <w:sz w:val="24"/>
        </w:rPr>
        <w:t>）质量安全体系存在系统性风险。</w:t>
      </w:r>
      <w:r>
        <w:rPr>
          <w:rFonts w:ascii="Times New Roman" w:eastAsiaTheme="minorEastAsia" w:hAnsi="Times New Roman"/>
          <w:bCs/>
          <w:sz w:val="24"/>
        </w:rPr>
        <w:t>现行生产过程中，农残、重金属迁移及溶剂残留等关键风险点尚未建立全流程监控标准。质量安全管控的薄弱环节已成为制约行业高质量发展的突出短板。</w:t>
      </w:r>
      <w:r>
        <w:rPr>
          <w:rFonts w:ascii="Times New Roman" w:eastAsiaTheme="minorEastAsia" w:hAnsi="Times New Roman"/>
          <w:b/>
          <w:sz w:val="24"/>
        </w:rPr>
        <w:t>（</w:t>
      </w:r>
      <w:r>
        <w:rPr>
          <w:rFonts w:ascii="Times New Roman" w:eastAsiaTheme="minorEastAsia" w:hAnsi="Times New Roman"/>
          <w:b/>
          <w:sz w:val="24"/>
        </w:rPr>
        <w:t>3</w:t>
      </w:r>
      <w:r>
        <w:rPr>
          <w:rFonts w:ascii="Times New Roman" w:eastAsiaTheme="minorEastAsia" w:hAnsi="Times New Roman"/>
          <w:b/>
          <w:sz w:val="24"/>
        </w:rPr>
        <w:t>）绿色化转型面临技术断层。</w:t>
      </w:r>
      <w:r>
        <w:rPr>
          <w:rFonts w:ascii="Times New Roman" w:eastAsiaTheme="minorEastAsia" w:hAnsi="Times New Roman"/>
          <w:bCs/>
          <w:sz w:val="24"/>
        </w:rPr>
        <w:t>行业清洁生产水平与</w:t>
      </w:r>
      <w:proofErr w:type="gramStart"/>
      <w:r>
        <w:rPr>
          <w:rFonts w:ascii="Times New Roman" w:eastAsiaTheme="minorEastAsia" w:hAnsi="Times New Roman"/>
          <w:bCs/>
          <w:sz w:val="24"/>
        </w:rPr>
        <w:t>双碳目标</w:t>
      </w:r>
      <w:proofErr w:type="gramEnd"/>
      <w:r>
        <w:rPr>
          <w:rFonts w:ascii="Times New Roman" w:eastAsiaTheme="minorEastAsia" w:hAnsi="Times New Roman"/>
          <w:bCs/>
          <w:sz w:val="24"/>
        </w:rPr>
        <w:t>要求存在显著代差：超临界萃取、膜分离等低碳技术应用率低，导致单位产品综合能耗较国际先进水平高，直接增加生产成本的同时引发环境治理压力。标准的实施将显著提升我国茶多酚制品的国际市场竞争力，推动精深加工产业从</w:t>
      </w:r>
      <w:r>
        <w:rPr>
          <w:rFonts w:ascii="Times New Roman" w:eastAsiaTheme="minorEastAsia" w:hAnsi="Times New Roman"/>
          <w:bCs/>
          <w:sz w:val="24"/>
        </w:rPr>
        <w:t>"</w:t>
      </w:r>
      <w:r>
        <w:rPr>
          <w:rFonts w:ascii="Times New Roman" w:eastAsiaTheme="minorEastAsia" w:hAnsi="Times New Roman"/>
          <w:bCs/>
          <w:sz w:val="24"/>
        </w:rPr>
        <w:t>规模扩张</w:t>
      </w:r>
      <w:r>
        <w:rPr>
          <w:rFonts w:ascii="Times New Roman" w:eastAsiaTheme="minorEastAsia" w:hAnsi="Times New Roman"/>
          <w:bCs/>
          <w:sz w:val="24"/>
        </w:rPr>
        <w:t>"</w:t>
      </w:r>
      <w:r>
        <w:rPr>
          <w:rFonts w:ascii="Times New Roman" w:eastAsiaTheme="minorEastAsia" w:hAnsi="Times New Roman"/>
          <w:bCs/>
          <w:sz w:val="24"/>
        </w:rPr>
        <w:t>向</w:t>
      </w:r>
      <w:r>
        <w:rPr>
          <w:rFonts w:ascii="Times New Roman" w:eastAsiaTheme="minorEastAsia" w:hAnsi="Times New Roman"/>
          <w:bCs/>
          <w:sz w:val="24"/>
        </w:rPr>
        <w:t>"</w:t>
      </w:r>
      <w:r>
        <w:rPr>
          <w:rFonts w:ascii="Times New Roman" w:eastAsiaTheme="minorEastAsia" w:hAnsi="Times New Roman"/>
          <w:bCs/>
          <w:sz w:val="24"/>
        </w:rPr>
        <w:t>质量效益</w:t>
      </w:r>
      <w:r>
        <w:rPr>
          <w:rFonts w:ascii="Times New Roman" w:eastAsiaTheme="minorEastAsia" w:hAnsi="Times New Roman"/>
          <w:bCs/>
          <w:sz w:val="24"/>
        </w:rPr>
        <w:t>"</w:t>
      </w:r>
      <w:r>
        <w:rPr>
          <w:rFonts w:ascii="Times New Roman" w:eastAsiaTheme="minorEastAsia" w:hAnsi="Times New Roman"/>
          <w:bCs/>
          <w:sz w:val="24"/>
        </w:rPr>
        <w:t>转型，带动上下游产业形成千亿级产业集群，为构建现代</w:t>
      </w:r>
      <w:proofErr w:type="gramStart"/>
      <w:r>
        <w:rPr>
          <w:rFonts w:ascii="Times New Roman" w:eastAsiaTheme="minorEastAsia" w:hAnsi="Times New Roman"/>
          <w:bCs/>
          <w:sz w:val="24"/>
        </w:rPr>
        <w:t>茶产业</w:t>
      </w:r>
      <w:proofErr w:type="gramEnd"/>
      <w:r>
        <w:rPr>
          <w:rFonts w:ascii="Times New Roman" w:eastAsiaTheme="minorEastAsia" w:hAnsi="Times New Roman"/>
          <w:bCs/>
          <w:sz w:val="24"/>
        </w:rPr>
        <w:t>体系提供关键支撑。</w:t>
      </w:r>
      <w:r>
        <w:rPr>
          <w:rFonts w:ascii="Times New Roman" w:eastAsiaTheme="minorEastAsia" w:hAnsi="Times New Roman"/>
          <w:b/>
          <w:bCs/>
          <w:sz w:val="24"/>
        </w:rPr>
        <w:t>以技术创新与绿色转型为核心抓手，推动</w:t>
      </w:r>
      <w:proofErr w:type="gramStart"/>
      <w:r>
        <w:rPr>
          <w:rFonts w:ascii="Times New Roman" w:eastAsiaTheme="minorEastAsia" w:hAnsi="Times New Roman"/>
          <w:b/>
          <w:bCs/>
          <w:sz w:val="24"/>
        </w:rPr>
        <w:t>茶产业全</w:t>
      </w:r>
      <w:proofErr w:type="gramEnd"/>
      <w:r>
        <w:rPr>
          <w:rFonts w:ascii="Times New Roman" w:eastAsiaTheme="minorEastAsia" w:hAnsi="Times New Roman"/>
          <w:b/>
          <w:bCs/>
          <w:sz w:val="24"/>
        </w:rPr>
        <w:t>链条向低碳化升级，为传统农业领域培育新质生产力提供示范路径，为高质量发展注入可持续动能。</w:t>
      </w:r>
    </w:p>
    <w:p w14:paraId="7E66CE37" w14:textId="77777777" w:rsidR="00E4570C" w:rsidRDefault="00000000">
      <w:pPr>
        <w:adjustRightInd w:val="0"/>
        <w:snapToGrid w:val="0"/>
        <w:spacing w:line="360" w:lineRule="auto"/>
        <w:outlineLvl w:val="1"/>
        <w:rPr>
          <w:rFonts w:ascii="Times New Roman" w:eastAsiaTheme="minorEastAsia" w:hAnsi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/>
          <w:b/>
          <w:bCs/>
          <w:sz w:val="28"/>
          <w:szCs w:val="28"/>
        </w:rPr>
        <w:t xml:space="preserve">2. </w:t>
      </w:r>
      <w:r>
        <w:rPr>
          <w:rFonts w:ascii="Times New Roman" w:eastAsiaTheme="minorEastAsia" w:hAnsi="Times New Roman"/>
          <w:b/>
          <w:bCs/>
          <w:sz w:val="28"/>
          <w:szCs w:val="28"/>
        </w:rPr>
        <w:t>与相关现行标准的比较</w:t>
      </w:r>
    </w:p>
    <w:p w14:paraId="0DF29179" w14:textId="501560E1" w:rsidR="008367A5" w:rsidRDefault="00000000" w:rsidP="004C4920">
      <w:pPr>
        <w:spacing w:line="360" w:lineRule="auto"/>
        <w:ind w:firstLineChars="200" w:firstLine="480"/>
        <w:rPr>
          <w:rFonts w:ascii="Times New Roman" w:eastAsiaTheme="minorEastAsia" w:hAnsi="Times New Roman"/>
          <w:bCs/>
          <w:sz w:val="24"/>
        </w:rPr>
      </w:pPr>
      <w:r>
        <w:rPr>
          <w:rFonts w:ascii="Times New Roman" w:eastAsiaTheme="minorEastAsia" w:hAnsi="Times New Roman"/>
          <w:sz w:val="24"/>
        </w:rPr>
        <w:t>国内已有产品质量国家标准</w:t>
      </w:r>
      <w:r>
        <w:rPr>
          <w:rFonts w:ascii="Times New Roman" w:eastAsiaTheme="minorEastAsia" w:hAnsi="Times New Roman"/>
          <w:sz w:val="24"/>
        </w:rPr>
        <w:t>GB/T 31740.2-2015</w:t>
      </w:r>
      <w:r>
        <w:rPr>
          <w:rFonts w:ascii="Times New Roman" w:eastAsiaTheme="minorEastAsia" w:hAnsi="Times New Roman"/>
          <w:sz w:val="24"/>
        </w:rPr>
        <w:t>《茶制品</w:t>
      </w:r>
      <w:r>
        <w:rPr>
          <w:rFonts w:ascii="Times New Roman" w:eastAsiaTheme="minorEastAsia" w:hAnsi="Times New Roman"/>
          <w:sz w:val="24"/>
        </w:rPr>
        <w:t xml:space="preserve"> </w:t>
      </w:r>
      <w:r>
        <w:rPr>
          <w:rFonts w:ascii="Times New Roman" w:eastAsiaTheme="minorEastAsia" w:hAnsi="Times New Roman"/>
          <w:sz w:val="24"/>
        </w:rPr>
        <w:t>第</w:t>
      </w:r>
      <w:r>
        <w:rPr>
          <w:rFonts w:ascii="Times New Roman" w:eastAsiaTheme="minorEastAsia" w:hAnsi="Times New Roman"/>
          <w:sz w:val="24"/>
        </w:rPr>
        <w:t>2</w:t>
      </w:r>
      <w:r>
        <w:rPr>
          <w:rFonts w:ascii="Times New Roman" w:eastAsiaTheme="minorEastAsia" w:hAnsi="Times New Roman"/>
          <w:sz w:val="24"/>
        </w:rPr>
        <w:t>部分</w:t>
      </w:r>
      <w:r>
        <w:rPr>
          <w:rFonts w:ascii="Times New Roman" w:eastAsiaTheme="minorEastAsia" w:hAnsi="Times New Roman"/>
          <w:sz w:val="24"/>
        </w:rPr>
        <w:t xml:space="preserve"> </w:t>
      </w:r>
      <w:r>
        <w:rPr>
          <w:rFonts w:ascii="Times New Roman" w:eastAsiaTheme="minorEastAsia" w:hAnsi="Times New Roman"/>
          <w:sz w:val="24"/>
        </w:rPr>
        <w:t>茶多酚》、</w:t>
      </w:r>
      <w:r>
        <w:rPr>
          <w:rFonts w:ascii="Times New Roman" w:eastAsiaTheme="minorEastAsia" w:hAnsi="Times New Roman"/>
          <w:sz w:val="24"/>
        </w:rPr>
        <w:lastRenderedPageBreak/>
        <w:t>GB 1886.211</w:t>
      </w:r>
      <w:r>
        <w:rPr>
          <w:rFonts w:ascii="Times New Roman" w:eastAsiaTheme="minorEastAsia" w:hAnsi="Times New Roman"/>
          <w:sz w:val="24"/>
        </w:rPr>
        <w:t>《食品安全国家标准</w:t>
      </w:r>
      <w:r>
        <w:rPr>
          <w:rFonts w:ascii="Times New Roman" w:eastAsiaTheme="minorEastAsia" w:hAnsi="Times New Roman"/>
          <w:sz w:val="24"/>
        </w:rPr>
        <w:t xml:space="preserve"> </w:t>
      </w:r>
      <w:r>
        <w:rPr>
          <w:rFonts w:ascii="Times New Roman" w:eastAsiaTheme="minorEastAsia" w:hAnsi="Times New Roman"/>
          <w:sz w:val="24"/>
        </w:rPr>
        <w:t>食品添加剂</w:t>
      </w:r>
      <w:r>
        <w:rPr>
          <w:rFonts w:ascii="Times New Roman" w:eastAsiaTheme="minorEastAsia" w:hAnsi="Times New Roman"/>
          <w:sz w:val="24"/>
        </w:rPr>
        <w:t xml:space="preserve"> </w:t>
      </w:r>
      <w:r>
        <w:rPr>
          <w:rFonts w:ascii="Times New Roman" w:eastAsiaTheme="minorEastAsia" w:hAnsi="Times New Roman"/>
          <w:sz w:val="24"/>
        </w:rPr>
        <w:t>茶多酚（又名维多酚）》。</w:t>
      </w:r>
      <w:r>
        <w:rPr>
          <w:rFonts w:ascii="Times New Roman" w:eastAsiaTheme="minorEastAsia" w:hAnsi="Times New Roman"/>
          <w:bCs/>
          <w:sz w:val="24"/>
        </w:rPr>
        <w:t>GB/T 31740.2-2015</w:t>
      </w:r>
      <w:r>
        <w:rPr>
          <w:rFonts w:ascii="Times New Roman" w:eastAsiaTheme="minorEastAsia" w:hAnsi="Times New Roman"/>
          <w:bCs/>
          <w:sz w:val="24"/>
        </w:rPr>
        <w:t>《茶制品</w:t>
      </w:r>
      <w:r>
        <w:rPr>
          <w:rFonts w:ascii="Times New Roman" w:eastAsiaTheme="minorEastAsia" w:hAnsi="Times New Roman"/>
          <w:bCs/>
          <w:sz w:val="24"/>
        </w:rPr>
        <w:t xml:space="preserve"> </w:t>
      </w:r>
      <w:r>
        <w:rPr>
          <w:rFonts w:ascii="Times New Roman" w:eastAsiaTheme="minorEastAsia" w:hAnsi="Times New Roman"/>
          <w:bCs/>
          <w:sz w:val="24"/>
        </w:rPr>
        <w:t>第</w:t>
      </w:r>
      <w:r>
        <w:rPr>
          <w:rFonts w:ascii="Times New Roman" w:eastAsiaTheme="minorEastAsia" w:hAnsi="Times New Roman"/>
          <w:bCs/>
          <w:sz w:val="24"/>
        </w:rPr>
        <w:t>2</w:t>
      </w:r>
      <w:r>
        <w:rPr>
          <w:rFonts w:ascii="Times New Roman" w:eastAsiaTheme="minorEastAsia" w:hAnsi="Times New Roman"/>
          <w:bCs/>
          <w:sz w:val="24"/>
        </w:rPr>
        <w:t>部分：茶多酚》作为产品标准，</w:t>
      </w:r>
      <w:r>
        <w:rPr>
          <w:rFonts w:ascii="Times New Roman" w:eastAsiaTheme="minorEastAsia" w:hAnsi="Times New Roman" w:hint="eastAsia"/>
          <w:bCs/>
          <w:sz w:val="24"/>
        </w:rPr>
        <w:t>规定了茶多酚的分类与规格、技术要求、试验方法、检验规则、标志标签、包装、运输和贮存</w:t>
      </w:r>
      <w:r>
        <w:rPr>
          <w:rFonts w:ascii="Times New Roman" w:eastAsiaTheme="minorEastAsia" w:hAnsi="Times New Roman"/>
          <w:bCs/>
          <w:sz w:val="24"/>
        </w:rPr>
        <w:t>。而</w:t>
      </w:r>
      <w:r>
        <w:rPr>
          <w:rFonts w:ascii="Times New Roman" w:eastAsiaTheme="minorEastAsia" w:hAnsi="Times New Roman"/>
          <w:bCs/>
          <w:sz w:val="24"/>
        </w:rPr>
        <w:t>GB 1886.211-2016</w:t>
      </w:r>
      <w:r>
        <w:rPr>
          <w:rFonts w:ascii="Times New Roman" w:eastAsiaTheme="minorEastAsia" w:hAnsi="Times New Roman"/>
          <w:bCs/>
          <w:sz w:val="24"/>
        </w:rPr>
        <w:t>《食品安全国家标准</w:t>
      </w:r>
      <w:r>
        <w:rPr>
          <w:rFonts w:ascii="Times New Roman" w:eastAsiaTheme="minorEastAsia" w:hAnsi="Times New Roman"/>
          <w:bCs/>
          <w:sz w:val="24"/>
        </w:rPr>
        <w:t xml:space="preserve"> </w:t>
      </w:r>
      <w:r>
        <w:rPr>
          <w:rFonts w:ascii="Times New Roman" w:eastAsiaTheme="minorEastAsia" w:hAnsi="Times New Roman"/>
          <w:bCs/>
          <w:sz w:val="24"/>
        </w:rPr>
        <w:t>食品添加剂</w:t>
      </w:r>
      <w:r>
        <w:rPr>
          <w:rFonts w:ascii="Times New Roman" w:eastAsiaTheme="minorEastAsia" w:hAnsi="Times New Roman"/>
          <w:bCs/>
          <w:sz w:val="24"/>
        </w:rPr>
        <w:t xml:space="preserve"> </w:t>
      </w:r>
      <w:r>
        <w:rPr>
          <w:rFonts w:ascii="Times New Roman" w:eastAsiaTheme="minorEastAsia" w:hAnsi="Times New Roman"/>
          <w:bCs/>
          <w:sz w:val="24"/>
        </w:rPr>
        <w:t>茶多酚》则聚焦于安全指标，并严格规定食品添加剂的使用范围及剂量，侧重</w:t>
      </w:r>
      <w:r>
        <w:rPr>
          <w:rFonts w:ascii="Times New Roman" w:eastAsiaTheme="minorEastAsia" w:hAnsi="Times New Roman" w:hint="eastAsia"/>
          <w:bCs/>
          <w:sz w:val="24"/>
        </w:rPr>
        <w:t>茶多酚在食品添加剂领域</w:t>
      </w:r>
      <w:r>
        <w:rPr>
          <w:rFonts w:ascii="Times New Roman" w:eastAsiaTheme="minorEastAsia" w:hAnsi="Times New Roman"/>
          <w:bCs/>
          <w:sz w:val="24"/>
        </w:rPr>
        <w:t>的合</w:t>
      </w:r>
      <w:proofErr w:type="gramStart"/>
      <w:r>
        <w:rPr>
          <w:rFonts w:ascii="Times New Roman" w:eastAsiaTheme="minorEastAsia" w:hAnsi="Times New Roman"/>
          <w:bCs/>
          <w:sz w:val="24"/>
        </w:rPr>
        <w:t>规</w:t>
      </w:r>
      <w:proofErr w:type="gramEnd"/>
      <w:r>
        <w:rPr>
          <w:rFonts w:ascii="Times New Roman" w:eastAsiaTheme="minorEastAsia" w:hAnsi="Times New Roman"/>
          <w:bCs/>
          <w:sz w:val="24"/>
        </w:rPr>
        <w:t>性管理。</w:t>
      </w:r>
      <w:r>
        <w:rPr>
          <w:rFonts w:ascii="Times New Roman" w:eastAsiaTheme="minorEastAsia" w:hAnsi="Times New Roman"/>
          <w:sz w:val="24"/>
        </w:rPr>
        <w:t>当前国际市场对茶制品质量溯源要求越来越高，上游的技术工艺标准化势在必行，目前</w:t>
      </w:r>
      <w:proofErr w:type="gramStart"/>
      <w:r>
        <w:rPr>
          <w:rFonts w:ascii="Times New Roman" w:eastAsiaTheme="minorEastAsia" w:hAnsi="Times New Roman"/>
          <w:sz w:val="24"/>
        </w:rPr>
        <w:t>国内茶</w:t>
      </w:r>
      <w:proofErr w:type="gramEnd"/>
      <w:r>
        <w:rPr>
          <w:rFonts w:ascii="Times New Roman" w:eastAsiaTheme="minorEastAsia" w:hAnsi="Times New Roman"/>
          <w:sz w:val="24"/>
        </w:rPr>
        <w:t>多酚生产工艺规范尚无。</w:t>
      </w:r>
      <w:r>
        <w:rPr>
          <w:rFonts w:ascii="Times New Roman" w:eastAsiaTheme="minorEastAsia" w:hAnsi="Times New Roman"/>
          <w:bCs/>
          <w:sz w:val="24"/>
        </w:rPr>
        <w:t>本标准将首次针对茶多酚制品生产过程进行规范，填补相关标准空白。</w:t>
      </w:r>
    </w:p>
    <w:p w14:paraId="4DBCE6C5" w14:textId="3EC490C8" w:rsidR="004C4920" w:rsidRPr="00A342FB" w:rsidRDefault="004C4920" w:rsidP="004C4920">
      <w:pPr>
        <w:spacing w:line="360" w:lineRule="auto"/>
        <w:ind w:firstLineChars="200" w:firstLine="480"/>
        <w:rPr>
          <w:rFonts w:ascii="Times New Roman" w:eastAsiaTheme="minorEastAsia" w:hAnsi="Times New Roman"/>
          <w:bCs/>
          <w:sz w:val="24"/>
        </w:rPr>
      </w:pPr>
      <w:r w:rsidRPr="00A342FB">
        <w:rPr>
          <w:rFonts w:ascii="Times New Roman" w:eastAsiaTheme="minorEastAsia" w:hAnsi="Times New Roman" w:hint="eastAsia"/>
          <w:bCs/>
          <w:sz w:val="24"/>
        </w:rPr>
        <w:t>2024</w:t>
      </w:r>
      <w:r w:rsidRPr="00A342FB">
        <w:rPr>
          <w:rFonts w:ascii="Times New Roman" w:eastAsiaTheme="minorEastAsia" w:hAnsi="Times New Roman" w:hint="eastAsia"/>
          <w:bCs/>
          <w:sz w:val="24"/>
        </w:rPr>
        <w:t>年</w:t>
      </w:r>
      <w:r w:rsidRPr="00A342FB">
        <w:rPr>
          <w:rFonts w:ascii="Times New Roman" w:eastAsiaTheme="minorEastAsia" w:hAnsi="Times New Roman" w:hint="eastAsia"/>
          <w:bCs/>
          <w:sz w:val="24"/>
        </w:rPr>
        <w:t>5</w:t>
      </w:r>
      <w:r w:rsidRPr="00A342FB">
        <w:rPr>
          <w:rFonts w:ascii="Times New Roman" w:eastAsiaTheme="minorEastAsia" w:hAnsi="Times New Roman" w:hint="eastAsia"/>
          <w:bCs/>
          <w:sz w:val="24"/>
        </w:rPr>
        <w:t>月，我国牵头研制的</w:t>
      </w:r>
      <w:r w:rsidRPr="00A342FB">
        <w:rPr>
          <w:rFonts w:ascii="Times New Roman" w:eastAsiaTheme="minorEastAsia" w:hAnsi="Times New Roman" w:hint="eastAsia"/>
          <w:bCs/>
          <w:sz w:val="24"/>
        </w:rPr>
        <w:t>ISO 5642: 2024</w:t>
      </w:r>
      <w:r w:rsidRPr="00A342FB">
        <w:rPr>
          <w:rFonts w:ascii="Times New Roman" w:eastAsiaTheme="minorEastAsia" w:hAnsi="Times New Roman" w:hint="eastAsia"/>
          <w:bCs/>
          <w:sz w:val="24"/>
        </w:rPr>
        <w:t>《</w:t>
      </w:r>
      <w:r w:rsidRPr="00A342FB">
        <w:rPr>
          <w:rFonts w:ascii="Times New Roman" w:eastAsiaTheme="minorEastAsia" w:hAnsi="Times New Roman" w:hint="eastAsia"/>
          <w:bCs/>
          <w:sz w:val="24"/>
        </w:rPr>
        <w:t>Tea polyphenol extracts</w:t>
      </w:r>
      <w:r w:rsidRPr="00A342FB">
        <w:rPr>
          <w:rFonts w:ascii="Times New Roman" w:eastAsiaTheme="minorEastAsia" w:hAnsi="Times New Roman" w:hint="eastAsia"/>
          <w:bCs/>
          <w:sz w:val="24"/>
        </w:rPr>
        <w:t>—</w:t>
      </w:r>
      <w:r w:rsidRPr="00A342FB">
        <w:rPr>
          <w:rFonts w:ascii="Times New Roman" w:eastAsiaTheme="minorEastAsia" w:hAnsi="Times New Roman" w:hint="eastAsia"/>
          <w:bCs/>
          <w:sz w:val="24"/>
        </w:rPr>
        <w:t>Definition and basic requirements</w:t>
      </w:r>
      <w:r w:rsidRPr="00A342FB">
        <w:rPr>
          <w:rFonts w:ascii="Times New Roman" w:eastAsiaTheme="minorEastAsia" w:hAnsi="Times New Roman" w:hint="eastAsia"/>
          <w:bCs/>
          <w:sz w:val="24"/>
        </w:rPr>
        <w:t>》（中文名：《茶多酚提取物</w:t>
      </w:r>
      <w:r w:rsidRPr="00A342FB">
        <w:rPr>
          <w:rFonts w:ascii="Times New Roman" w:eastAsiaTheme="minorEastAsia" w:hAnsi="Times New Roman" w:hint="eastAsia"/>
          <w:bCs/>
          <w:sz w:val="24"/>
        </w:rPr>
        <w:t>-</w:t>
      </w:r>
      <w:r w:rsidRPr="00A342FB">
        <w:rPr>
          <w:rFonts w:ascii="Times New Roman" w:eastAsiaTheme="minorEastAsia" w:hAnsi="Times New Roman" w:hint="eastAsia"/>
          <w:bCs/>
          <w:sz w:val="24"/>
        </w:rPr>
        <w:t>定义和基本要求》），由国际标准化组织（</w:t>
      </w:r>
      <w:r w:rsidRPr="00A342FB">
        <w:rPr>
          <w:rFonts w:ascii="Times New Roman" w:eastAsiaTheme="minorEastAsia" w:hAnsi="Times New Roman" w:hint="eastAsia"/>
          <w:bCs/>
          <w:sz w:val="24"/>
        </w:rPr>
        <w:t>ISO</w:t>
      </w:r>
      <w:r w:rsidRPr="00A342FB">
        <w:rPr>
          <w:rFonts w:ascii="Times New Roman" w:eastAsiaTheme="minorEastAsia" w:hAnsi="Times New Roman" w:hint="eastAsia"/>
          <w:bCs/>
          <w:sz w:val="24"/>
        </w:rPr>
        <w:t>）正式出版。《茶多酚提取物—定义和基本要求》对茶多酚的定义、规格和质量指标进行了明确，</w:t>
      </w:r>
      <w:r w:rsidR="007B58AE" w:rsidRPr="00A342FB">
        <w:rPr>
          <w:rFonts w:ascii="Times New Roman" w:eastAsiaTheme="minorEastAsia" w:hAnsi="Times New Roman" w:hint="eastAsia"/>
          <w:bCs/>
          <w:sz w:val="24"/>
        </w:rPr>
        <w:t>但仍未涉及茶多酚的加工工艺条件</w:t>
      </w:r>
      <w:r w:rsidRPr="00A342FB">
        <w:rPr>
          <w:rFonts w:ascii="Times New Roman" w:eastAsiaTheme="minorEastAsia" w:hAnsi="Times New Roman" w:hint="eastAsia"/>
          <w:bCs/>
          <w:sz w:val="24"/>
        </w:rPr>
        <w:t>。该标准的研制过程也表明，</w:t>
      </w:r>
      <w:r w:rsidRPr="00A342FB">
        <w:rPr>
          <w:rFonts w:ascii="Times New Roman" w:eastAsiaTheme="minorEastAsia" w:hAnsi="Times New Roman"/>
          <w:bCs/>
          <w:sz w:val="24"/>
        </w:rPr>
        <w:t>采用环境友好、</w:t>
      </w:r>
      <w:r w:rsidR="007B58AE" w:rsidRPr="00A342FB">
        <w:rPr>
          <w:rFonts w:ascii="Times New Roman" w:eastAsiaTheme="minorEastAsia" w:hAnsi="Times New Roman"/>
          <w:bCs/>
          <w:sz w:val="24"/>
        </w:rPr>
        <w:t>绿色</w:t>
      </w:r>
      <w:r w:rsidRPr="00A342FB">
        <w:rPr>
          <w:rFonts w:ascii="Times New Roman" w:eastAsiaTheme="minorEastAsia" w:hAnsi="Times New Roman"/>
          <w:bCs/>
          <w:sz w:val="24"/>
        </w:rPr>
        <w:t>安全制备技术（如避免有害溶剂、降低能耗污染）所生产的茶多酚产品，</w:t>
      </w:r>
      <w:r w:rsidRPr="00A342FB">
        <w:rPr>
          <w:rFonts w:ascii="Times New Roman" w:eastAsiaTheme="minorEastAsia" w:hAnsi="Times New Roman" w:hint="eastAsia"/>
          <w:bCs/>
          <w:sz w:val="24"/>
        </w:rPr>
        <w:t>也保证了其</w:t>
      </w:r>
      <w:r w:rsidRPr="00A342FB">
        <w:rPr>
          <w:rFonts w:ascii="Times New Roman" w:eastAsiaTheme="minorEastAsia" w:hAnsi="Times New Roman"/>
          <w:bCs/>
          <w:sz w:val="24"/>
        </w:rPr>
        <w:t>具备被纳入</w:t>
      </w:r>
      <w:r w:rsidRPr="00A342FB">
        <w:rPr>
          <w:rFonts w:ascii="Times New Roman" w:eastAsiaTheme="minorEastAsia" w:hAnsi="Times New Roman"/>
          <w:bCs/>
          <w:sz w:val="24"/>
        </w:rPr>
        <w:t>ISOTC34/SC8</w:t>
      </w:r>
      <w:r w:rsidRPr="00A342FB">
        <w:rPr>
          <w:rFonts w:ascii="Times New Roman" w:eastAsiaTheme="minorEastAsia" w:hAnsi="Times New Roman"/>
          <w:bCs/>
          <w:sz w:val="24"/>
        </w:rPr>
        <w:t>标准范围的</w:t>
      </w:r>
      <w:r w:rsidRPr="00A342FB">
        <w:rPr>
          <w:rFonts w:ascii="Times New Roman" w:eastAsiaTheme="minorEastAsia" w:hAnsi="Times New Roman" w:hint="eastAsia"/>
          <w:bCs/>
          <w:sz w:val="24"/>
        </w:rPr>
        <w:t>条件，这也说明了</w:t>
      </w:r>
      <w:r w:rsidRPr="00A342FB">
        <w:rPr>
          <w:rFonts w:ascii="Times New Roman" w:eastAsiaTheme="minorEastAsia" w:hAnsi="Times New Roman"/>
          <w:bCs/>
          <w:sz w:val="24"/>
        </w:rPr>
        <w:t>绿色制造是进入国际标准化体系的</w:t>
      </w:r>
      <w:r w:rsidRPr="00A342FB">
        <w:rPr>
          <w:rFonts w:ascii="Times New Roman" w:eastAsiaTheme="minorEastAsia" w:hAnsi="Times New Roman" w:hint="eastAsia"/>
          <w:bCs/>
          <w:sz w:val="24"/>
        </w:rPr>
        <w:t>重要</w:t>
      </w:r>
      <w:proofErr w:type="gramStart"/>
      <w:r w:rsidRPr="00A342FB">
        <w:rPr>
          <w:rFonts w:ascii="Times New Roman" w:eastAsiaTheme="minorEastAsia" w:hAnsi="Times New Roman" w:hint="eastAsia"/>
          <w:bCs/>
          <w:sz w:val="24"/>
        </w:rPr>
        <w:t>考量</w:t>
      </w:r>
      <w:proofErr w:type="gramEnd"/>
      <w:r w:rsidRPr="00A342FB">
        <w:rPr>
          <w:rFonts w:ascii="Times New Roman" w:eastAsiaTheme="minorEastAsia" w:hAnsi="Times New Roman"/>
          <w:bCs/>
          <w:sz w:val="24"/>
        </w:rPr>
        <w:t>。</w:t>
      </w:r>
      <w:r w:rsidRPr="00A342FB">
        <w:rPr>
          <w:rFonts w:ascii="Times New Roman" w:eastAsiaTheme="minorEastAsia" w:hAnsi="Times New Roman"/>
          <w:bCs/>
          <w:sz w:val="24"/>
        </w:rPr>
        <w:t xml:space="preserve"> </w:t>
      </w:r>
      <w:r w:rsidRPr="00A342FB">
        <w:rPr>
          <w:rFonts w:ascii="Times New Roman" w:eastAsiaTheme="minorEastAsia" w:hAnsi="Times New Roman"/>
          <w:bCs/>
          <w:sz w:val="24"/>
        </w:rPr>
        <w:t>因此，对于中国茶多酚产业而言，采用绿色制备技术是实现与国际标准和市场接轨的必由之路。它不仅是突破国际贸易壁垒、满足国际市场核心健康与安全诉求的关键，更是驱动产业升级、提升全球竞争力的核心战略。通过绿色技术生产的产品，能够有效契合</w:t>
      </w:r>
      <w:r w:rsidRPr="00A342FB">
        <w:rPr>
          <w:rFonts w:ascii="Times New Roman" w:eastAsiaTheme="minorEastAsia" w:hAnsi="Times New Roman"/>
          <w:bCs/>
          <w:sz w:val="24"/>
        </w:rPr>
        <w:t>ISO 5642</w:t>
      </w:r>
      <w:r w:rsidRPr="00A342FB">
        <w:rPr>
          <w:rFonts w:ascii="Times New Roman" w:eastAsiaTheme="minorEastAsia" w:hAnsi="Times New Roman"/>
          <w:bCs/>
          <w:sz w:val="24"/>
        </w:rPr>
        <w:t>的规范，赢得国际认可，从而推动中国</w:t>
      </w:r>
      <w:proofErr w:type="gramStart"/>
      <w:r w:rsidRPr="00A342FB">
        <w:rPr>
          <w:rFonts w:ascii="Times New Roman" w:eastAsiaTheme="minorEastAsia" w:hAnsi="Times New Roman"/>
          <w:bCs/>
          <w:sz w:val="24"/>
        </w:rPr>
        <w:t>茶产业</w:t>
      </w:r>
      <w:proofErr w:type="gramEnd"/>
      <w:r w:rsidRPr="00A342FB">
        <w:rPr>
          <w:rFonts w:ascii="Times New Roman" w:eastAsiaTheme="minorEastAsia" w:hAnsi="Times New Roman"/>
          <w:bCs/>
          <w:sz w:val="24"/>
        </w:rPr>
        <w:t>从传统的原料供应角色，向高附加值产品输出和国际标准制定者的价值链高端跃升。</w:t>
      </w:r>
    </w:p>
    <w:p w14:paraId="708AEF36" w14:textId="77777777" w:rsidR="00E4570C" w:rsidRDefault="00000000">
      <w:pPr>
        <w:pStyle w:val="1"/>
        <w:spacing w:beforeLines="50" w:before="156" w:line="276" w:lineRule="auto"/>
        <w:jc w:val="both"/>
        <w:rPr>
          <w:rFonts w:ascii="Times New Roman" w:eastAsiaTheme="minorEastAsia" w:hAnsi="Times New Roman"/>
          <w:bCs/>
          <w:iCs/>
          <w:szCs w:val="21"/>
        </w:rPr>
      </w:pPr>
      <w:r>
        <w:rPr>
          <w:rFonts w:ascii="Times New Roman" w:eastAsiaTheme="minorEastAsia" w:hAnsi="Times New Roman" w:hint="eastAsia"/>
          <w:bCs/>
          <w:iCs/>
          <w:szCs w:val="21"/>
        </w:rPr>
        <w:t>三</w:t>
      </w:r>
      <w:r>
        <w:rPr>
          <w:rFonts w:ascii="Times New Roman" w:eastAsiaTheme="minorEastAsia" w:hAnsi="Times New Roman"/>
          <w:bCs/>
          <w:iCs/>
          <w:szCs w:val="21"/>
        </w:rPr>
        <w:t>、标准研制过程</w:t>
      </w:r>
    </w:p>
    <w:p w14:paraId="470D5CD4" w14:textId="77777777" w:rsidR="00E4570C" w:rsidRDefault="00000000">
      <w:pPr>
        <w:adjustRightInd w:val="0"/>
        <w:snapToGrid w:val="0"/>
        <w:spacing w:line="360" w:lineRule="auto"/>
        <w:ind w:firstLineChars="200" w:firstLine="480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/>
          <w:sz w:val="24"/>
        </w:rPr>
        <w:t>标准起草小组基于企业调研、样品采集、文献查阅、指标测定、数据分析、企业交流研讨等过程开展了标准制定研究。通过</w:t>
      </w:r>
      <w:r>
        <w:rPr>
          <w:rFonts w:ascii="Times New Roman" w:eastAsiaTheme="minorEastAsia" w:hAnsi="Times New Roman"/>
          <w:sz w:val="24"/>
        </w:rPr>
        <w:t>HPLC</w:t>
      </w:r>
      <w:r>
        <w:rPr>
          <w:rFonts w:ascii="Times New Roman" w:eastAsiaTheme="minorEastAsia" w:hAnsi="Times New Roman"/>
          <w:sz w:val="24"/>
        </w:rPr>
        <w:t>等分析技术，研究茶多酚产品中儿茶素（</w:t>
      </w:r>
      <w:r>
        <w:rPr>
          <w:rFonts w:ascii="Times New Roman" w:eastAsiaTheme="minorEastAsia" w:hAnsi="Times New Roman"/>
          <w:sz w:val="24"/>
        </w:rPr>
        <w:t>EGCG</w:t>
      </w:r>
      <w:r>
        <w:rPr>
          <w:rFonts w:ascii="Times New Roman" w:eastAsiaTheme="minorEastAsia" w:hAnsi="Times New Roman"/>
          <w:sz w:val="24"/>
        </w:rPr>
        <w:t>）、咖啡碱等关键成分与加工技术的相关性，测定其含量波动范围，为标准制定提供数据支撑。</w:t>
      </w:r>
    </w:p>
    <w:p w14:paraId="41B68D78" w14:textId="77777777" w:rsidR="00E4570C" w:rsidRDefault="00000000">
      <w:pPr>
        <w:adjustRightInd w:val="0"/>
        <w:snapToGrid w:val="0"/>
        <w:spacing w:line="360" w:lineRule="auto"/>
        <w:ind w:firstLineChars="200" w:firstLine="480"/>
        <w:rPr>
          <w:rFonts w:ascii="Times New Roman" w:eastAsiaTheme="minorEastAsia" w:hAnsi="Times New Roman"/>
          <w:b/>
          <w:bCs/>
          <w:sz w:val="24"/>
        </w:rPr>
      </w:pPr>
      <w:r>
        <w:rPr>
          <w:rFonts w:ascii="Times New Roman" w:eastAsiaTheme="minorEastAsia" w:hAnsi="Times New Roman"/>
          <w:sz w:val="24"/>
        </w:rPr>
        <w:t>按标准制定的科学性、合理性、实用性、可操作性的要求，起草编制了《</w:t>
      </w:r>
      <w:r>
        <w:rPr>
          <w:rFonts w:ascii="Times New Roman" w:eastAsiaTheme="minorEastAsia" w:hAnsi="Times New Roman"/>
          <w:kern w:val="0"/>
          <w:sz w:val="24"/>
        </w:rPr>
        <w:t>茶多酚加工技术规范</w:t>
      </w:r>
      <w:r>
        <w:rPr>
          <w:rFonts w:ascii="Times New Roman" w:eastAsiaTheme="minorEastAsia" w:hAnsi="Times New Roman"/>
          <w:sz w:val="24"/>
        </w:rPr>
        <w:t>》供销行业标准草案。在标准研制过程中，结合茶多酚产业实际需求及标准研制内容，组织</w:t>
      </w:r>
      <w:r>
        <w:rPr>
          <w:rFonts w:ascii="Times New Roman" w:eastAsiaTheme="minorEastAsia" w:hAnsi="Times New Roman"/>
          <w:sz w:val="24"/>
        </w:rPr>
        <w:t>20</w:t>
      </w:r>
      <w:r>
        <w:rPr>
          <w:rFonts w:ascii="Times New Roman" w:eastAsiaTheme="minorEastAsia" w:hAnsi="Times New Roman"/>
          <w:sz w:val="24"/>
        </w:rPr>
        <w:t>人次对浙江、安徽、福建等茶叶主产区</w:t>
      </w:r>
      <w:r>
        <w:rPr>
          <w:rFonts w:ascii="Times New Roman" w:eastAsiaTheme="minorEastAsia" w:hAnsi="Times New Roman"/>
          <w:sz w:val="24"/>
        </w:rPr>
        <w:t>5</w:t>
      </w:r>
      <w:r>
        <w:rPr>
          <w:rFonts w:ascii="Times New Roman" w:eastAsiaTheme="minorEastAsia" w:hAnsi="Times New Roman"/>
          <w:sz w:val="24"/>
        </w:rPr>
        <w:t>家代表性茶叶精深深加工企业实地调研交流，充分了解产业实际生产条件以及市场主</w:t>
      </w:r>
      <w:r>
        <w:rPr>
          <w:rFonts w:ascii="Times New Roman" w:eastAsiaTheme="minorEastAsia" w:hAnsi="Times New Roman"/>
          <w:sz w:val="24"/>
        </w:rPr>
        <w:lastRenderedPageBreak/>
        <w:t>体对标准文本意见建议。通过实地一线调研，实现产业诉求向标准条款的精准转化，有效保障标准文本的产业适配度。</w:t>
      </w:r>
    </w:p>
    <w:p w14:paraId="31ABD257" w14:textId="77777777" w:rsidR="00E4570C" w:rsidRDefault="00000000">
      <w:pPr>
        <w:adjustRightInd w:val="0"/>
        <w:snapToGrid w:val="0"/>
        <w:spacing w:line="360" w:lineRule="auto"/>
        <w:ind w:firstLineChars="200" w:firstLine="480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/>
          <w:sz w:val="24"/>
        </w:rPr>
        <w:t>对收集到的茶多酚样品进行检测、分析数据，对市场现有茶多酚产品进行全面的了解。结合样品生产过程中提取、离心、富集、浓缩、干燥等环节，提出品质控制的规范性措施，在起草小组范围内进一步完善标准草案。</w:t>
      </w:r>
    </w:p>
    <w:p w14:paraId="5BEF5410" w14:textId="258247CB" w:rsidR="00E4570C" w:rsidRDefault="00000000">
      <w:pPr>
        <w:adjustRightInd w:val="0"/>
        <w:snapToGrid w:val="0"/>
        <w:spacing w:line="360" w:lineRule="auto"/>
        <w:ind w:firstLineChars="200" w:firstLine="480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2025</w:t>
      </w:r>
      <w:r>
        <w:rPr>
          <w:rFonts w:ascii="Times New Roman" w:eastAsiaTheme="minorEastAsia" w:hAnsi="Times New Roman" w:hint="eastAsia"/>
          <w:sz w:val="24"/>
        </w:rPr>
        <w:t>年</w:t>
      </w:r>
      <w:r>
        <w:rPr>
          <w:rFonts w:ascii="Times New Roman" w:eastAsiaTheme="minorEastAsia" w:hAnsi="Times New Roman" w:hint="eastAsia"/>
          <w:sz w:val="24"/>
        </w:rPr>
        <w:t>4</w:t>
      </w:r>
      <w:r>
        <w:rPr>
          <w:rFonts w:ascii="Times New Roman" w:eastAsiaTheme="minorEastAsia" w:hAnsi="Times New Roman" w:hint="eastAsia"/>
          <w:sz w:val="24"/>
        </w:rPr>
        <w:t>月</w:t>
      </w:r>
      <w:r>
        <w:rPr>
          <w:rFonts w:ascii="Times New Roman" w:eastAsiaTheme="minorEastAsia" w:hAnsi="Times New Roman" w:hint="eastAsia"/>
          <w:sz w:val="24"/>
        </w:rPr>
        <w:t>17</w:t>
      </w:r>
      <w:r>
        <w:rPr>
          <w:rFonts w:ascii="Times New Roman" w:eastAsiaTheme="minorEastAsia" w:hAnsi="Times New Roman" w:hint="eastAsia"/>
          <w:sz w:val="24"/>
        </w:rPr>
        <w:t>日，起草小组召开了研制工作交流会，来自科研单位以及</w:t>
      </w:r>
      <w:r w:rsidR="008206E9">
        <w:rPr>
          <w:rFonts w:ascii="Times New Roman" w:eastAsiaTheme="minorEastAsia" w:hAnsi="Times New Roman" w:hint="eastAsia"/>
          <w:sz w:val="24"/>
        </w:rPr>
        <w:t>茶多酚</w:t>
      </w:r>
      <w:r>
        <w:rPr>
          <w:rFonts w:ascii="Times New Roman" w:eastAsiaTheme="minorEastAsia" w:hAnsi="Times New Roman" w:hint="eastAsia"/>
          <w:sz w:val="24"/>
        </w:rPr>
        <w:t>生产、应用企业的</w:t>
      </w:r>
      <w:r>
        <w:rPr>
          <w:rFonts w:ascii="Times New Roman" w:eastAsiaTheme="minorEastAsia" w:hAnsi="Times New Roman" w:hint="eastAsia"/>
          <w:sz w:val="24"/>
        </w:rPr>
        <w:t>20</w:t>
      </w:r>
      <w:r>
        <w:rPr>
          <w:rFonts w:ascii="Times New Roman" w:eastAsiaTheme="minorEastAsia" w:hAnsi="Times New Roman" w:hint="eastAsia"/>
          <w:sz w:val="24"/>
        </w:rPr>
        <w:t>余位代表就标准草案内容展开深入研讨并充分交换意见。标准起草小组根据与会专家、企业代表的意见，进一步完善了标准草案、形成《茶多酚加工技术规范》征求意见稿。</w:t>
      </w:r>
      <w:r>
        <w:rPr>
          <w:rFonts w:ascii="Times New Roman" w:eastAsiaTheme="minorEastAsia" w:hAnsi="Times New Roman"/>
          <w:sz w:val="24"/>
        </w:rPr>
        <w:t>后续将通过网站、电子邮件等方式广泛征集各方对征求意见稿的意见。</w:t>
      </w:r>
    </w:p>
    <w:p w14:paraId="02151C1E" w14:textId="77777777" w:rsidR="00E4570C" w:rsidRDefault="00000000">
      <w:pPr>
        <w:pStyle w:val="1"/>
        <w:rPr>
          <w:rFonts w:ascii="Times New Roman" w:eastAsiaTheme="minorEastAsia" w:hAnsi="Times New Roman"/>
          <w:bCs/>
          <w:iCs/>
          <w:color w:val="auto"/>
          <w:szCs w:val="21"/>
        </w:rPr>
      </w:pPr>
      <w:r>
        <w:rPr>
          <w:rFonts w:ascii="Times New Roman" w:eastAsiaTheme="minorEastAsia" w:hAnsi="Times New Roman" w:hint="eastAsia"/>
          <w:bCs/>
          <w:iCs/>
          <w:color w:val="auto"/>
          <w:szCs w:val="21"/>
        </w:rPr>
        <w:t>四、标准研制原则和主要内容的依据</w:t>
      </w:r>
    </w:p>
    <w:p w14:paraId="34B4AFC6" w14:textId="77777777" w:rsidR="00E4570C" w:rsidRDefault="00000000">
      <w:pPr>
        <w:adjustRightInd w:val="0"/>
        <w:snapToGrid w:val="0"/>
        <w:spacing w:line="360" w:lineRule="auto"/>
        <w:outlineLvl w:val="1"/>
        <w:rPr>
          <w:rFonts w:ascii="Times New Roman" w:eastAsiaTheme="minorEastAsia" w:hAnsi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hint="eastAsia"/>
          <w:b/>
          <w:bCs/>
          <w:sz w:val="28"/>
          <w:szCs w:val="28"/>
        </w:rPr>
        <w:t>4.1</w:t>
      </w:r>
      <w:r>
        <w:rPr>
          <w:rFonts w:ascii="Times New Roman" w:eastAsiaTheme="minorEastAsia" w:hAnsi="Times New Roman" w:hint="eastAsia"/>
          <w:b/>
          <w:bCs/>
          <w:sz w:val="28"/>
          <w:szCs w:val="28"/>
        </w:rPr>
        <w:t>标准的结构、技术要素及表述规则</w:t>
      </w:r>
    </w:p>
    <w:p w14:paraId="1BA0680F" w14:textId="38C32A97" w:rsidR="00E4570C" w:rsidRDefault="00000000">
      <w:pPr>
        <w:spacing w:line="360" w:lineRule="auto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根据</w:t>
      </w:r>
      <w:r>
        <w:rPr>
          <w:rFonts w:hint="eastAsia"/>
          <w:bCs/>
          <w:sz w:val="24"/>
        </w:rPr>
        <w:t>GB/T 1.1</w:t>
      </w:r>
      <w:r w:rsidR="00091E18">
        <w:rPr>
          <w:rFonts w:hint="eastAsia"/>
          <w:bCs/>
          <w:sz w:val="24"/>
        </w:rPr>
        <w:t>-</w:t>
      </w:r>
      <w:r>
        <w:rPr>
          <w:rFonts w:hint="eastAsia"/>
          <w:bCs/>
          <w:sz w:val="24"/>
        </w:rPr>
        <w:t>2020</w:t>
      </w:r>
      <w:r>
        <w:rPr>
          <w:rFonts w:hint="eastAsia"/>
          <w:bCs/>
          <w:sz w:val="24"/>
        </w:rPr>
        <w:t>《标准化工作导则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第</w:t>
      </w: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部分：标准化文件的结构和起草规则》的要求研制标准文本。</w:t>
      </w:r>
    </w:p>
    <w:p w14:paraId="1EBDD012" w14:textId="77777777" w:rsidR="00E4570C" w:rsidRDefault="00000000">
      <w:pPr>
        <w:adjustRightInd w:val="0"/>
        <w:snapToGrid w:val="0"/>
        <w:spacing w:line="360" w:lineRule="auto"/>
        <w:outlineLvl w:val="1"/>
        <w:rPr>
          <w:rFonts w:ascii="Times New Roman" w:eastAsiaTheme="minorEastAsia" w:hAnsi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hint="eastAsia"/>
          <w:b/>
          <w:bCs/>
          <w:sz w:val="28"/>
          <w:szCs w:val="28"/>
        </w:rPr>
        <w:t xml:space="preserve">4.2 </w:t>
      </w:r>
      <w:r>
        <w:rPr>
          <w:rFonts w:ascii="Times New Roman" w:eastAsiaTheme="minorEastAsia" w:hAnsi="Times New Roman" w:hint="eastAsia"/>
          <w:b/>
          <w:bCs/>
          <w:sz w:val="28"/>
          <w:szCs w:val="28"/>
        </w:rPr>
        <w:t>标准主要内容结构</w:t>
      </w:r>
    </w:p>
    <w:p w14:paraId="747D476B" w14:textId="77777777" w:rsidR="001B08E2" w:rsidRPr="0061297B" w:rsidRDefault="001B08E2" w:rsidP="001B08E2">
      <w:pPr>
        <w:spacing w:line="360" w:lineRule="auto"/>
        <w:ind w:firstLine="360"/>
        <w:rPr>
          <w:rFonts w:ascii="Times New Roman" w:hAnsi="Times New Roman"/>
          <w:color w:val="000000"/>
          <w:szCs w:val="21"/>
        </w:rPr>
      </w:pPr>
      <w:bookmarkStart w:id="0" w:name="OLE_LINK36"/>
      <w:bookmarkStart w:id="1" w:name="OLE_LINK35"/>
      <w:bookmarkStart w:id="2" w:name="OLE_LINK34"/>
      <w:bookmarkStart w:id="3" w:name="OLE_LINK37"/>
      <w:r w:rsidRPr="0061297B">
        <w:rPr>
          <w:rFonts w:ascii="Times New Roman" w:hAnsi="Times New Roman"/>
          <w:color w:val="000000"/>
          <w:szCs w:val="21"/>
        </w:rPr>
        <w:t>本文件规定了茶多酚加工的加工条件和卫生管理要求、原辅料要求、加工工艺要求及贮存等。</w:t>
      </w:r>
    </w:p>
    <w:p w14:paraId="0529B7C1" w14:textId="77777777" w:rsidR="001B08E2" w:rsidRPr="0061297B" w:rsidRDefault="001B08E2" w:rsidP="001B08E2">
      <w:pPr>
        <w:spacing w:line="360" w:lineRule="auto"/>
        <w:ind w:firstLine="360"/>
        <w:rPr>
          <w:rFonts w:ascii="Times New Roman" w:hAnsi="Times New Roman"/>
          <w:color w:val="000000"/>
          <w:szCs w:val="21"/>
        </w:rPr>
      </w:pPr>
      <w:r w:rsidRPr="0061297B">
        <w:rPr>
          <w:rFonts w:ascii="Times New Roman" w:hAnsi="Times New Roman"/>
          <w:color w:val="000000"/>
          <w:szCs w:val="21"/>
        </w:rPr>
        <w:t>本文件适用于以茶叶</w:t>
      </w:r>
      <w:r w:rsidRPr="0061297B">
        <w:rPr>
          <w:rFonts w:ascii="Times New Roman" w:hAnsi="Times New Roman"/>
          <w:color w:val="000000"/>
          <w:szCs w:val="21"/>
        </w:rPr>
        <w:t>(</w:t>
      </w:r>
      <w:r w:rsidRPr="0061297B">
        <w:rPr>
          <w:rFonts w:ascii="Times New Roman" w:hAnsi="Times New Roman"/>
          <w:i/>
          <w:iCs/>
          <w:color w:val="000000"/>
          <w:szCs w:val="21"/>
        </w:rPr>
        <w:t xml:space="preserve">Camellia sinensis </w:t>
      </w:r>
      <w:r w:rsidRPr="0061297B">
        <w:rPr>
          <w:rFonts w:ascii="Times New Roman" w:hAnsi="Times New Roman"/>
          <w:color w:val="000000"/>
          <w:szCs w:val="21"/>
        </w:rPr>
        <w:t>L.)</w:t>
      </w:r>
      <w:r w:rsidRPr="0061297B">
        <w:rPr>
          <w:rFonts w:ascii="Times New Roman" w:hAnsi="Times New Roman"/>
          <w:color w:val="000000"/>
          <w:szCs w:val="21"/>
        </w:rPr>
        <w:t>为原料经水或食用酒精等绿色溶剂提取，采用膜过滤、热泵浓缩等低碳节能设备制备而成的茶多酚。</w:t>
      </w:r>
    </w:p>
    <w:p w14:paraId="7289C78B" w14:textId="1F7947AE" w:rsidR="00E4570C" w:rsidRPr="0061297B" w:rsidRDefault="00000000">
      <w:pPr>
        <w:adjustRightInd w:val="0"/>
        <w:snapToGrid w:val="0"/>
        <w:spacing w:line="360" w:lineRule="auto"/>
        <w:ind w:firstLineChars="200" w:firstLine="480"/>
        <w:rPr>
          <w:rFonts w:ascii="Times New Roman" w:eastAsiaTheme="minorEastAsia" w:hAnsi="Times New Roman"/>
          <w:sz w:val="24"/>
        </w:rPr>
      </w:pPr>
      <w:r w:rsidRPr="0061297B">
        <w:rPr>
          <w:rFonts w:ascii="Times New Roman" w:eastAsiaTheme="minorEastAsia" w:hAnsi="Times New Roman"/>
          <w:sz w:val="24"/>
        </w:rPr>
        <w:t>生产流程及工艺要求部分规定了</w:t>
      </w:r>
      <w:bookmarkEnd w:id="0"/>
      <w:bookmarkEnd w:id="1"/>
      <w:bookmarkEnd w:id="2"/>
      <w:bookmarkEnd w:id="3"/>
      <w:r w:rsidRPr="0061297B">
        <w:rPr>
          <w:rFonts w:ascii="Times New Roman" w:eastAsiaTheme="minorEastAsia" w:hAnsi="Times New Roman"/>
          <w:sz w:val="24"/>
        </w:rPr>
        <w:t>、生产流程和具体工艺要求。主要包括：</w:t>
      </w:r>
      <w:r w:rsidR="001B08E2" w:rsidRPr="0061297B">
        <w:rPr>
          <w:rFonts w:ascii="Times New Roman" w:eastAsiaTheme="minorEastAsia" w:hAnsi="Times New Roman"/>
          <w:sz w:val="24"/>
        </w:rPr>
        <w:t>原料</w:t>
      </w:r>
      <w:r w:rsidR="001B08E2" w:rsidRPr="0061297B">
        <w:rPr>
          <w:rFonts w:ascii="Times New Roman" w:eastAsiaTheme="minorEastAsia" w:hAnsi="Times New Roman"/>
          <w:sz w:val="24"/>
        </w:rPr>
        <w:t>→</w:t>
      </w:r>
      <w:r w:rsidR="001B08E2" w:rsidRPr="0061297B">
        <w:rPr>
          <w:rFonts w:ascii="Times New Roman" w:eastAsiaTheme="minorEastAsia" w:hAnsi="Times New Roman"/>
          <w:sz w:val="24"/>
        </w:rPr>
        <w:t>预处理</w:t>
      </w:r>
      <w:r w:rsidR="001B08E2" w:rsidRPr="0061297B">
        <w:rPr>
          <w:rFonts w:ascii="Times New Roman" w:eastAsiaTheme="minorEastAsia" w:hAnsi="Times New Roman"/>
          <w:sz w:val="24"/>
        </w:rPr>
        <w:t>→</w:t>
      </w:r>
      <w:r w:rsidR="001B08E2" w:rsidRPr="0061297B">
        <w:rPr>
          <w:rFonts w:ascii="Times New Roman" w:eastAsiaTheme="minorEastAsia" w:hAnsi="Times New Roman"/>
          <w:sz w:val="24"/>
        </w:rPr>
        <w:t>提取</w:t>
      </w:r>
      <w:r w:rsidR="001B08E2" w:rsidRPr="0061297B">
        <w:rPr>
          <w:rFonts w:ascii="Times New Roman" w:eastAsiaTheme="minorEastAsia" w:hAnsi="Times New Roman"/>
          <w:sz w:val="24"/>
        </w:rPr>
        <w:t>→</w:t>
      </w:r>
      <w:r w:rsidR="001B08E2" w:rsidRPr="0061297B">
        <w:rPr>
          <w:rFonts w:ascii="Times New Roman" w:eastAsiaTheme="minorEastAsia" w:hAnsi="Times New Roman"/>
          <w:sz w:val="24"/>
        </w:rPr>
        <w:t>过滤</w:t>
      </w:r>
      <w:r w:rsidR="001B08E2" w:rsidRPr="0061297B">
        <w:rPr>
          <w:rFonts w:ascii="Times New Roman" w:eastAsiaTheme="minorEastAsia" w:hAnsi="Times New Roman"/>
          <w:sz w:val="24"/>
        </w:rPr>
        <w:t>→</w:t>
      </w:r>
      <w:r w:rsidR="001B08E2" w:rsidRPr="0061297B">
        <w:rPr>
          <w:rFonts w:ascii="Times New Roman" w:eastAsiaTheme="minorEastAsia" w:hAnsi="Times New Roman"/>
          <w:sz w:val="24"/>
        </w:rPr>
        <w:t>富集</w:t>
      </w:r>
      <w:r w:rsidR="001B08E2" w:rsidRPr="0061297B">
        <w:rPr>
          <w:rFonts w:ascii="Times New Roman" w:eastAsiaTheme="minorEastAsia" w:hAnsi="Times New Roman"/>
          <w:sz w:val="24"/>
        </w:rPr>
        <w:t>→</w:t>
      </w:r>
      <w:r w:rsidR="001B08E2" w:rsidRPr="0061297B">
        <w:rPr>
          <w:rFonts w:ascii="Times New Roman" w:eastAsiaTheme="minorEastAsia" w:hAnsi="Times New Roman"/>
          <w:sz w:val="24"/>
        </w:rPr>
        <w:t>浓缩</w:t>
      </w:r>
      <w:r w:rsidR="001B08E2" w:rsidRPr="0061297B">
        <w:rPr>
          <w:rFonts w:ascii="Times New Roman" w:eastAsiaTheme="minorEastAsia" w:hAnsi="Times New Roman"/>
          <w:sz w:val="24"/>
        </w:rPr>
        <w:t>→</w:t>
      </w:r>
      <w:r w:rsidR="001B08E2" w:rsidRPr="0061297B">
        <w:rPr>
          <w:rFonts w:ascii="Times New Roman" w:eastAsiaTheme="minorEastAsia" w:hAnsi="Times New Roman"/>
          <w:sz w:val="24"/>
        </w:rPr>
        <w:t>干燥</w:t>
      </w:r>
      <w:r w:rsidR="001B08E2" w:rsidRPr="0061297B">
        <w:rPr>
          <w:rFonts w:ascii="Times New Roman" w:eastAsiaTheme="minorEastAsia" w:hAnsi="Times New Roman"/>
          <w:sz w:val="24"/>
        </w:rPr>
        <w:t>→</w:t>
      </w:r>
      <w:r w:rsidR="001B08E2" w:rsidRPr="0061297B">
        <w:rPr>
          <w:rFonts w:ascii="Times New Roman" w:eastAsiaTheme="minorEastAsia" w:hAnsi="Times New Roman"/>
          <w:sz w:val="24"/>
        </w:rPr>
        <w:t>包装</w:t>
      </w:r>
      <w:r w:rsidR="001B08E2" w:rsidRPr="0061297B">
        <w:rPr>
          <w:rFonts w:ascii="Times New Roman" w:eastAsiaTheme="minorEastAsia" w:hAnsi="Times New Roman"/>
          <w:sz w:val="24"/>
        </w:rPr>
        <w:t>等</w:t>
      </w:r>
      <w:r w:rsidR="001B08E2" w:rsidRPr="0061297B">
        <w:rPr>
          <w:rFonts w:ascii="Times New Roman" w:eastAsiaTheme="minorEastAsia" w:hAnsi="Times New Roman"/>
          <w:sz w:val="24"/>
        </w:rPr>
        <w:t>工序环节</w:t>
      </w:r>
      <w:r w:rsidR="001B08E2" w:rsidRPr="0061297B">
        <w:rPr>
          <w:rFonts w:ascii="Times New Roman" w:eastAsiaTheme="minorEastAsia" w:hAnsi="Times New Roman"/>
          <w:sz w:val="24"/>
        </w:rPr>
        <w:t>以及</w:t>
      </w:r>
      <w:r w:rsidR="001B08E2" w:rsidRPr="0061297B">
        <w:rPr>
          <w:rFonts w:ascii="Times New Roman" w:eastAsiaTheme="minorEastAsia" w:hAnsi="Times New Roman"/>
          <w:sz w:val="24"/>
        </w:rPr>
        <w:t>绿色低碳加工要求</w:t>
      </w:r>
      <w:r w:rsidRPr="0061297B">
        <w:rPr>
          <w:rFonts w:ascii="Times New Roman" w:eastAsiaTheme="minorEastAsia" w:hAnsi="Times New Roman"/>
          <w:sz w:val="24"/>
        </w:rPr>
        <w:t>等。</w:t>
      </w:r>
    </w:p>
    <w:p w14:paraId="443D710E" w14:textId="77777777" w:rsidR="00E4570C" w:rsidRPr="0061297B" w:rsidRDefault="00000000">
      <w:pPr>
        <w:adjustRightInd w:val="0"/>
        <w:snapToGrid w:val="0"/>
        <w:spacing w:line="360" w:lineRule="auto"/>
        <w:ind w:firstLineChars="200" w:firstLine="480"/>
        <w:rPr>
          <w:rFonts w:ascii="Times New Roman" w:eastAsiaTheme="minorEastAsia" w:hAnsi="Times New Roman"/>
          <w:sz w:val="24"/>
        </w:rPr>
      </w:pPr>
      <w:r w:rsidRPr="0061297B">
        <w:rPr>
          <w:rFonts w:ascii="Times New Roman" w:eastAsiaTheme="minorEastAsia" w:hAnsi="Times New Roman"/>
          <w:sz w:val="24"/>
        </w:rPr>
        <w:t>最后对质量要求和贮存条件予以规范。</w:t>
      </w:r>
    </w:p>
    <w:p w14:paraId="10FC2392" w14:textId="77777777" w:rsidR="00E4570C" w:rsidRDefault="00000000">
      <w:pPr>
        <w:adjustRightInd w:val="0"/>
        <w:snapToGrid w:val="0"/>
        <w:spacing w:line="360" w:lineRule="auto"/>
        <w:outlineLvl w:val="1"/>
        <w:rPr>
          <w:rFonts w:ascii="Times New Roman" w:eastAsiaTheme="minorEastAsia" w:hAnsi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hint="eastAsia"/>
          <w:b/>
          <w:bCs/>
          <w:sz w:val="28"/>
          <w:szCs w:val="28"/>
        </w:rPr>
        <w:t xml:space="preserve">4.3 </w:t>
      </w:r>
      <w:r>
        <w:rPr>
          <w:rFonts w:ascii="Times New Roman" w:eastAsiaTheme="minorEastAsia" w:hAnsi="Times New Roman" w:hint="eastAsia"/>
          <w:b/>
          <w:bCs/>
          <w:sz w:val="28"/>
          <w:szCs w:val="28"/>
        </w:rPr>
        <w:t>标准研制的主要依据</w:t>
      </w:r>
    </w:p>
    <w:p w14:paraId="729A214F" w14:textId="77777777" w:rsidR="00E4570C" w:rsidRDefault="00000000">
      <w:pPr>
        <w:outlineLvl w:val="1"/>
        <w:rPr>
          <w:rFonts w:ascii="Times New Roman" w:eastAsiaTheme="minorEastAsia" w:hAnsi="Times New Roman"/>
          <w:b/>
          <w:bCs/>
          <w:sz w:val="24"/>
        </w:rPr>
      </w:pPr>
      <w:r>
        <w:rPr>
          <w:rFonts w:ascii="Times New Roman" w:eastAsiaTheme="minorEastAsia" w:hAnsi="Times New Roman" w:hint="eastAsia"/>
          <w:b/>
          <w:bCs/>
          <w:sz w:val="28"/>
          <w:szCs w:val="28"/>
        </w:rPr>
        <w:t>4.3.1</w:t>
      </w:r>
      <w:r>
        <w:rPr>
          <w:rFonts w:ascii="Times New Roman" w:eastAsiaTheme="minorEastAsia" w:hAnsi="Times New Roman" w:hint="eastAsia"/>
          <w:b/>
          <w:bCs/>
          <w:sz w:val="24"/>
        </w:rPr>
        <w:t>茶多酚制备相关论文</w:t>
      </w:r>
    </w:p>
    <w:p w14:paraId="3ED14C89" w14:textId="77777777" w:rsidR="00E4570C" w:rsidRDefault="00000000">
      <w:pPr>
        <w:spacing w:line="340" w:lineRule="exact"/>
        <w:ind w:firstLineChars="200" w:firstLine="480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目前，茶多酚的生产技术根据其制备单元分为提取和分离。根据提取原理不同，有溶剂浸提、超声波提取、微波提取、酶法辅助浸提等</w:t>
      </w:r>
      <w:r>
        <w:rPr>
          <w:rFonts w:ascii="Times New Roman" w:eastAsiaTheme="minorEastAsia" w:hAnsi="Times New Roman"/>
          <w:sz w:val="24"/>
        </w:rPr>
        <w:fldChar w:fldCharType="begin"/>
      </w:r>
      <w:r>
        <w:rPr>
          <w:rFonts w:ascii="Times New Roman" w:eastAsiaTheme="minorEastAsia" w:hAnsi="Times New Roman"/>
          <w:sz w:val="24"/>
        </w:rPr>
        <w:instrText xml:space="preserve"> ADDIN NE.Ref.{86469571-1641-4417-B9B7-2E37B9562D00}</w:instrText>
      </w:r>
      <w:r>
        <w:rPr>
          <w:rFonts w:ascii="Times New Roman" w:eastAsiaTheme="minorEastAsia" w:hAnsi="Times New Roman"/>
          <w:sz w:val="24"/>
        </w:rPr>
        <w:fldChar w:fldCharType="separate"/>
      </w:r>
      <w:r>
        <w:rPr>
          <w:rFonts w:ascii="Times New Roman" w:eastAsiaTheme="minorEastAsia" w:hAnsi="Times New Roman"/>
          <w:sz w:val="24"/>
        </w:rPr>
        <w:t>ADDIN</w:t>
      </w:r>
      <w:r>
        <w:rPr>
          <w:rFonts w:ascii="Times New Roman" w:eastAsiaTheme="minorEastAsia" w:hAnsi="Times New Roman"/>
          <w:sz w:val="24"/>
        </w:rPr>
        <w:fldChar w:fldCharType="end"/>
      </w:r>
      <w:r>
        <w:rPr>
          <w:rFonts w:ascii="Times New Roman" w:eastAsiaTheme="minorEastAsia" w:hAnsi="Times New Roman" w:hint="eastAsia"/>
          <w:sz w:val="24"/>
        </w:rPr>
        <w:t>，分离纯化技术有柱层析分离制备、膜分离、高速逆流层析、溶剂富集等。各项技术的优缺点及特性，参见表</w:t>
      </w:r>
      <w:r>
        <w:rPr>
          <w:rFonts w:ascii="Times New Roman" w:eastAsiaTheme="minorEastAsia" w:hAnsi="Times New Roman"/>
          <w:sz w:val="24"/>
        </w:rPr>
        <w:t>1</w:t>
      </w:r>
      <w:r>
        <w:rPr>
          <w:rFonts w:ascii="Times New Roman" w:eastAsiaTheme="minorEastAsia" w:hAnsi="Times New Roman" w:hint="eastAsia"/>
          <w:sz w:val="24"/>
        </w:rPr>
        <w:t>。</w:t>
      </w:r>
    </w:p>
    <w:p w14:paraId="1C6CA434" w14:textId="77777777" w:rsidR="00E4570C" w:rsidRDefault="00000000">
      <w:pPr>
        <w:spacing w:line="340" w:lineRule="exact"/>
        <w:ind w:firstLineChars="200" w:firstLine="361"/>
        <w:jc w:val="center"/>
        <w:rPr>
          <w:rFonts w:ascii="Times New Roman" w:eastAsiaTheme="minorEastAsia" w:hAnsi="Times New Roman"/>
          <w:b/>
          <w:bCs/>
          <w:sz w:val="18"/>
          <w:szCs w:val="18"/>
        </w:rPr>
      </w:pPr>
      <w:r>
        <w:rPr>
          <w:rFonts w:ascii="Times New Roman" w:eastAsiaTheme="minorEastAsia" w:hAnsi="Times New Roman" w:hint="eastAsia"/>
          <w:b/>
          <w:bCs/>
          <w:sz w:val="18"/>
          <w:szCs w:val="18"/>
        </w:rPr>
        <w:t>表</w:t>
      </w:r>
      <w:r>
        <w:rPr>
          <w:rFonts w:ascii="Times New Roman" w:eastAsiaTheme="minorEastAsia" w:hAnsi="Times New Roman"/>
          <w:b/>
          <w:bCs/>
          <w:sz w:val="18"/>
          <w:szCs w:val="18"/>
        </w:rPr>
        <w:t xml:space="preserve">1  </w:t>
      </w:r>
      <w:r>
        <w:rPr>
          <w:rFonts w:ascii="Times New Roman" w:eastAsiaTheme="minorEastAsia" w:hAnsi="Times New Roman" w:hint="eastAsia"/>
          <w:b/>
          <w:bCs/>
          <w:sz w:val="18"/>
          <w:szCs w:val="18"/>
        </w:rPr>
        <w:t>茶多酚部分提取分离工艺比较分析</w:t>
      </w:r>
      <w:r>
        <w:rPr>
          <w:rFonts w:ascii="Times New Roman" w:eastAsiaTheme="minorEastAsia" w:hAnsi="Times New Roman"/>
          <w:b/>
          <w:bCs/>
          <w:sz w:val="18"/>
          <w:szCs w:val="18"/>
        </w:rPr>
        <w:fldChar w:fldCharType="begin"/>
      </w:r>
      <w:r>
        <w:rPr>
          <w:rFonts w:ascii="Times New Roman" w:eastAsiaTheme="minorEastAsia" w:hAnsi="Times New Roman"/>
          <w:b/>
          <w:bCs/>
          <w:sz w:val="18"/>
          <w:szCs w:val="18"/>
        </w:rPr>
        <w:instrText xml:space="preserve"> ADDIN NE.Ref.{98520A1F-32F8-4CD2-BEEC-2BAA798FB18D}</w:instrText>
      </w:r>
      <w:r>
        <w:rPr>
          <w:rFonts w:ascii="Times New Roman" w:eastAsiaTheme="minorEastAsia" w:hAnsi="Times New Roman"/>
          <w:b/>
          <w:bCs/>
          <w:sz w:val="18"/>
          <w:szCs w:val="18"/>
        </w:rPr>
        <w:fldChar w:fldCharType="separate"/>
      </w:r>
      <w:r>
        <w:rPr>
          <w:rFonts w:ascii="Times New Roman" w:eastAsiaTheme="minorEastAsia" w:hAnsi="Times New Roman"/>
          <w:b/>
          <w:bCs/>
          <w:kern w:val="0"/>
          <w:sz w:val="18"/>
          <w:szCs w:val="18"/>
          <w:vertAlign w:val="superscript"/>
        </w:rPr>
        <w:t>[1-3]</w:t>
      </w:r>
      <w:r>
        <w:rPr>
          <w:rFonts w:ascii="Times New Roman" w:eastAsiaTheme="minorEastAsia" w:hAnsi="Times New Roman"/>
          <w:b/>
          <w:bCs/>
          <w:sz w:val="18"/>
          <w:szCs w:val="18"/>
        </w:rPr>
        <w:fldChar w:fldCharType="end"/>
      </w:r>
    </w:p>
    <w:tbl>
      <w:tblPr>
        <w:tblW w:w="8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718"/>
      </w:tblGrid>
      <w:tr w:rsidR="00E4570C" w14:paraId="24E50FD5" w14:textId="77777777">
        <w:trPr>
          <w:trHeight w:val="324"/>
        </w:trPr>
        <w:tc>
          <w:tcPr>
            <w:tcW w:w="1668" w:type="dxa"/>
            <w:vAlign w:val="center"/>
          </w:tcPr>
          <w:p w14:paraId="5EE0AEF9" w14:textId="77777777" w:rsidR="00E4570C" w:rsidRDefault="00000000">
            <w:pPr>
              <w:jc w:val="center"/>
              <w:rPr>
                <w:rFonts w:ascii="Times New Roman" w:eastAsiaTheme="minorEastAsia" w:hAnsi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kern w:val="0"/>
                <w:sz w:val="18"/>
                <w:szCs w:val="18"/>
              </w:rPr>
              <w:lastRenderedPageBreak/>
              <w:t>工艺名称</w:t>
            </w:r>
          </w:p>
        </w:tc>
        <w:tc>
          <w:tcPr>
            <w:tcW w:w="6718" w:type="dxa"/>
            <w:vAlign w:val="center"/>
          </w:tcPr>
          <w:p w14:paraId="36B17DB6" w14:textId="77777777" w:rsidR="00E4570C" w:rsidRDefault="00000000">
            <w:pPr>
              <w:jc w:val="center"/>
              <w:rPr>
                <w:rFonts w:ascii="Times New Roman" w:eastAsiaTheme="minorEastAsia" w:hAnsi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kern w:val="0"/>
                <w:sz w:val="18"/>
                <w:szCs w:val="18"/>
              </w:rPr>
              <w:t>相关研究内容</w:t>
            </w:r>
          </w:p>
        </w:tc>
      </w:tr>
      <w:tr w:rsidR="00E4570C" w14:paraId="407A591C" w14:textId="77777777">
        <w:trPr>
          <w:trHeight w:val="324"/>
        </w:trPr>
        <w:tc>
          <w:tcPr>
            <w:tcW w:w="1668" w:type="dxa"/>
            <w:vAlign w:val="center"/>
          </w:tcPr>
          <w:p w14:paraId="029D34DA" w14:textId="77777777" w:rsidR="00E4570C" w:rsidRDefault="00000000">
            <w:pP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水或有机溶剂提取法</w:t>
            </w:r>
          </w:p>
        </w:tc>
        <w:tc>
          <w:tcPr>
            <w:tcW w:w="6718" w:type="dxa"/>
            <w:vAlign w:val="center"/>
          </w:tcPr>
          <w:p w14:paraId="1D2E6BC4" w14:textId="77777777" w:rsidR="00E4570C" w:rsidRDefault="00000000">
            <w:pPr>
              <w:rPr>
                <w:rFonts w:ascii="Times New Roman" w:eastAsiaTheme="minorEastAsia" w:hAnsi="Times New Roman"/>
                <w:sz w:val="18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20"/>
              </w:rPr>
              <w:t>溶剂类型和浓度、料液比、提取温度和时间、体系酸碱度通常是影响茶多酚提取效率和得率的主要因素。常用的溶剂有水、甲醇、乙醇、丙酮、乙酸乙酯等</w: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fldChar w:fldCharType="begin"/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instrText xml:space="preserve"> ADDIN NE.Ref.{E8FAE7BF-7929-476A-90B0-E9902FD191F1}</w:instrTex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[3]</w: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sz w:val="18"/>
                <w:szCs w:val="20"/>
              </w:rPr>
              <w:t>。常规提取以水作溶剂，料液比在</w: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t>1:15~1:20</w:t>
            </w:r>
            <w:r>
              <w:rPr>
                <w:rFonts w:ascii="Times New Roman" w:eastAsiaTheme="minorEastAsia" w:hAnsi="Times New Roman" w:hint="eastAsia"/>
                <w:sz w:val="18"/>
                <w:szCs w:val="20"/>
              </w:rPr>
              <w:t>间，温度</w: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t xml:space="preserve">90~95 </w:t>
            </w:r>
            <w:r>
              <w:rPr>
                <w:rFonts w:ascii="Times New Roman" w:eastAsiaTheme="minorEastAsia" w:hAnsi="Times New Roman" w:hint="eastAsia"/>
                <w:sz w:val="18"/>
                <w:szCs w:val="20"/>
              </w:rPr>
              <w:t>℃，时间</w: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t>30~50 min</w: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fldChar w:fldCharType="begin"/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instrText xml:space="preserve"> ADDIN NE.Ref.{83EA4164-BD60-471F-9F38-95B4D7AFFE0C}</w:instrTex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[4]</w: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sz w:val="18"/>
                <w:szCs w:val="20"/>
              </w:rPr>
              <w:t>。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以乙酸乙酯，正丁醇和正己烷作溶剂可将儿茶素与其它绿茶提取成分分离，采用柠檬酸溶液可以脱除儿茶素体系中的咖啡因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NE.Ref.{C48AD038-1D5B-46D6-8675-944886C28D24}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[5]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。</w:t>
            </w:r>
          </w:p>
        </w:tc>
      </w:tr>
      <w:tr w:rsidR="00E4570C" w14:paraId="26EB860C" w14:textId="77777777">
        <w:trPr>
          <w:trHeight w:val="324"/>
        </w:trPr>
        <w:tc>
          <w:tcPr>
            <w:tcW w:w="1668" w:type="dxa"/>
            <w:vAlign w:val="center"/>
          </w:tcPr>
          <w:p w14:paraId="30B95A7E" w14:textId="77777777" w:rsidR="00E4570C" w:rsidRDefault="00000000">
            <w:pP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柱层析分离制备法</w:t>
            </w:r>
          </w:p>
        </w:tc>
        <w:tc>
          <w:tcPr>
            <w:tcW w:w="6718" w:type="dxa"/>
            <w:vAlign w:val="center"/>
          </w:tcPr>
          <w:p w14:paraId="6A4FF2BD" w14:textId="77777777" w:rsidR="00E4570C" w:rsidRDefault="00000000">
            <w:pP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柱层析主要有吸附柱分离、离子交换柱、凝胶柱分离等方法。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AB-8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S-8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LSA-10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NKA-9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D-101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DA-201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HP-20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XDA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等系列大孔吸附树脂在柱分离方面研究和应用较多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NE.Ref.{5A33F10B-6DC9-46DE-A8FE-30F1F439CEBB}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[3]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。有研究发现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AB-8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树脂对油茶壳中多酚具有较好吸附分离性能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NE.Ref.{FF249CA6-DCB0-4E87-8DA5-466B13317D7A}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[6]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。葡聚糖凝胶柱分离中以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Sephadex LH-20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和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 xml:space="preserve"> Sephadex G</w:t>
            </w:r>
            <w:proofErr w:type="gramStart"/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柱应用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较多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NE.Ref.{51ACE237-7847-42E7-8562-763027C7DD7E}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[7]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，也通常会与其它分离方法相结合。杨秀芳等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NE.Ref.{96BE5DC9-71E9-4AFA-A997-04BF2F0ECFFC}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[8]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通过茶多酚的吸附及解吸实验获得了适于</w:t>
            </w:r>
            <w:proofErr w:type="gramStart"/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分离高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纯度茶多酚的树脂材料，所用树脂对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TP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的吸附及洗脱性能较好，重复使用效率较高。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DM-16X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大孔吸附树脂适于茶汤中茶多酚的吸附和解析，在吸附速度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6 BV/h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时，茶多酚纯度可达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76.57%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，其中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EGC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EC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ECG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EGCG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总量达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65.62%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NE.Ref.{83524D45-3424-4E5F-8A85-6C1AD4E453BD}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[9]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。</w:t>
            </w:r>
          </w:p>
        </w:tc>
      </w:tr>
      <w:tr w:rsidR="00E4570C" w14:paraId="72EB14C5" w14:textId="77777777">
        <w:trPr>
          <w:trHeight w:val="324"/>
        </w:trPr>
        <w:tc>
          <w:tcPr>
            <w:tcW w:w="1668" w:type="dxa"/>
            <w:noWrap/>
            <w:vAlign w:val="center"/>
          </w:tcPr>
          <w:p w14:paraId="34823BEC" w14:textId="77777777" w:rsidR="00E4570C" w:rsidRDefault="00000000">
            <w:pP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超声波辅助提取</w:t>
            </w:r>
          </w:p>
        </w:tc>
        <w:tc>
          <w:tcPr>
            <w:tcW w:w="6718" w:type="dxa"/>
            <w:vAlign w:val="center"/>
          </w:tcPr>
          <w:p w14:paraId="08414B58" w14:textId="77777777" w:rsidR="00E4570C" w:rsidRDefault="00000000">
            <w:pPr>
              <w:jc w:val="left"/>
              <w:rPr>
                <w:rFonts w:ascii="Times New Roman" w:eastAsiaTheme="minorEastAsia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在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 xml:space="preserve">70 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℃和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100 W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超声功率下，以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80%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乙醇作溶剂按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1:10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料液比提取茶多酚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20 min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NE.Ref.{70226522-B52A-4BC1-839B-DC5D868C8032}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[10]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，产品得率较大幅度提高。</w:t>
            </w:r>
          </w:p>
        </w:tc>
      </w:tr>
      <w:tr w:rsidR="00E4570C" w14:paraId="7B6762E5" w14:textId="77777777">
        <w:trPr>
          <w:trHeight w:val="324"/>
        </w:trPr>
        <w:tc>
          <w:tcPr>
            <w:tcW w:w="1668" w:type="dxa"/>
            <w:noWrap/>
            <w:vAlign w:val="center"/>
          </w:tcPr>
          <w:p w14:paraId="3F88CAD1" w14:textId="77777777" w:rsidR="00E4570C" w:rsidRDefault="00000000">
            <w:pP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微波辅助提取</w:t>
            </w:r>
          </w:p>
        </w:tc>
        <w:tc>
          <w:tcPr>
            <w:tcW w:w="6718" w:type="dxa"/>
            <w:vAlign w:val="center"/>
          </w:tcPr>
          <w:p w14:paraId="200913E4" w14:textId="77777777" w:rsidR="00E4570C" w:rsidRDefault="00000000">
            <w:pPr>
              <w:jc w:val="left"/>
              <w:rPr>
                <w:rFonts w:ascii="Times New Roman" w:eastAsiaTheme="minorEastAsia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以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50%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乙醇作提取剂，料液比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1</w:t>
            </w:r>
            <w:r>
              <w:rPr>
                <w:rFonts w:ascii="Cambria Math" w:eastAsiaTheme="minorEastAsia" w:hAnsi="Cambria Math" w:cs="Cambria Math" w:hint="eastAsia"/>
                <w:kern w:val="0"/>
                <w:sz w:val="18"/>
                <w:szCs w:val="18"/>
              </w:rPr>
              <w:t>∶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9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（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mL/g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），微波功率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320 W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，时间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18 s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，提取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次，茶多酚提取率可达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23.4%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NE.Ref.{11552812-4ACB-43BA-8A2C-F287997FF9FA}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[11]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；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400 W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微波辐射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1 min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可较好提取绿茶样品中儿茶素，实现儿茶素回收率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118%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，表儿茶素回收率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120%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NE.Ref.{326A112B-3C93-4143-A194-59DDB43AAA38}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[12]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。</w:t>
            </w:r>
          </w:p>
        </w:tc>
      </w:tr>
      <w:tr w:rsidR="00E4570C" w14:paraId="599B3686" w14:textId="77777777">
        <w:trPr>
          <w:trHeight w:val="324"/>
        </w:trPr>
        <w:tc>
          <w:tcPr>
            <w:tcW w:w="1668" w:type="dxa"/>
            <w:noWrap/>
            <w:vAlign w:val="center"/>
          </w:tcPr>
          <w:p w14:paraId="4849EC71" w14:textId="77777777" w:rsidR="00E4570C" w:rsidRDefault="00000000">
            <w:pP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膜分离制备</w:t>
            </w:r>
          </w:p>
        </w:tc>
        <w:tc>
          <w:tcPr>
            <w:tcW w:w="6718" w:type="dxa"/>
            <w:vAlign w:val="center"/>
          </w:tcPr>
          <w:p w14:paraId="4BDF9A84" w14:textId="77777777" w:rsidR="00E4570C" w:rsidRDefault="00000000">
            <w:pPr>
              <w:rPr>
                <w:rFonts w:ascii="Times New Roman" w:eastAsiaTheme="minorEastAsia" w:hAnsi="Times New Roman"/>
                <w:sz w:val="18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20"/>
              </w:rPr>
              <w:t>微滤和超滤能截留提取液中的多糖、蛋白等大分子物质。</w: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t xml:space="preserve">100 </w:t>
            </w:r>
            <w:proofErr w:type="spellStart"/>
            <w:r>
              <w:rPr>
                <w:rFonts w:ascii="Times New Roman" w:eastAsiaTheme="minorEastAsia" w:hAnsi="Times New Roman"/>
                <w:sz w:val="18"/>
                <w:szCs w:val="20"/>
              </w:rPr>
              <w:t>kDa</w:t>
            </w:r>
            <w:proofErr w:type="spellEnd"/>
            <w:r>
              <w:rPr>
                <w:rFonts w:ascii="Times New Roman" w:eastAsiaTheme="minorEastAsia" w:hAnsi="Times New Roman" w:hint="eastAsia"/>
                <w:sz w:val="18"/>
                <w:szCs w:val="20"/>
              </w:rPr>
              <w:t>膜分离茶多酚的较佳参数为料液浓度</w: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t>0.40%</w:t>
            </w:r>
            <w:r>
              <w:rPr>
                <w:rFonts w:ascii="Times New Roman" w:eastAsiaTheme="minorEastAsia" w:hAnsi="Times New Roman" w:hint="eastAsia"/>
                <w:sz w:val="18"/>
                <w:szCs w:val="20"/>
              </w:rPr>
              <w:t>，</w: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t xml:space="preserve">35 </w:t>
            </w:r>
            <w:r>
              <w:rPr>
                <w:rFonts w:ascii="Times New Roman" w:eastAsiaTheme="minorEastAsia" w:hAnsi="Times New Roman" w:hint="eastAsia"/>
                <w:sz w:val="18"/>
                <w:szCs w:val="20"/>
              </w:rPr>
              <w:t>℃，</w: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t>0.138 MPa</w:t>
            </w:r>
            <w:r>
              <w:rPr>
                <w:rFonts w:ascii="Times New Roman" w:eastAsiaTheme="minorEastAsia" w:hAnsi="Times New Roman" w:hint="eastAsia"/>
                <w:sz w:val="18"/>
                <w:szCs w:val="20"/>
              </w:rPr>
              <w:t>，</w: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t xml:space="preserve">30 </w:t>
            </w:r>
            <w:proofErr w:type="spellStart"/>
            <w:r>
              <w:rPr>
                <w:rFonts w:ascii="Times New Roman" w:eastAsiaTheme="minorEastAsia" w:hAnsi="Times New Roman"/>
                <w:sz w:val="18"/>
                <w:szCs w:val="20"/>
              </w:rPr>
              <w:t>kDa</w:t>
            </w:r>
            <w:proofErr w:type="spellEnd"/>
            <w:r>
              <w:rPr>
                <w:rFonts w:ascii="Times New Roman" w:eastAsiaTheme="minorEastAsia" w:hAnsi="Times New Roman" w:hint="eastAsia"/>
                <w:sz w:val="18"/>
                <w:szCs w:val="20"/>
              </w:rPr>
              <w:t>膜富集茶多酚较佳参数为料液温度</w: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t xml:space="preserve">30 </w:t>
            </w:r>
            <w:r>
              <w:rPr>
                <w:rFonts w:ascii="Times New Roman" w:eastAsiaTheme="minorEastAsia" w:hAnsi="Times New Roman" w:hint="eastAsia"/>
                <w:sz w:val="18"/>
                <w:szCs w:val="20"/>
              </w:rPr>
              <w:t>℃，压力</w: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t xml:space="preserve"> 0.138 MPa</w: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fldChar w:fldCharType="begin"/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instrText xml:space="preserve"> ADDIN NE.Ref.{CCD92FFA-2D75-4753-A48D-ECAC3970699E}</w:instrTex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[4]</w: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sz w:val="18"/>
                <w:szCs w:val="20"/>
              </w:rPr>
              <w:t>。采用</w:t>
            </w:r>
            <w:r>
              <w:rPr>
                <w:rFonts w:ascii="Times New Roman" w:eastAsiaTheme="minorEastAsia" w:hAnsi="Times New Roman"/>
                <w:sz w:val="18"/>
                <w:szCs w:val="20"/>
              </w:rPr>
              <w:t>10</w:t>
            </w:r>
            <w:r>
              <w:rPr>
                <w:rFonts w:ascii="Times New Roman" w:eastAsiaTheme="minorEastAsia" w:hAnsi="Times New Roman" w:hint="eastAsia"/>
                <w:sz w:val="18"/>
                <w:szCs w:val="20"/>
              </w:rPr>
              <w:t>万分子量超滤膜，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在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0.4 MPa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，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 xml:space="preserve">25 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℃条件下可将目标茶多酚含量由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13.14%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提高至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91.28%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NE.Ref.{55722846-EAFD-47D0-8C07-63A121E063B0}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[13]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。</w:t>
            </w:r>
          </w:p>
        </w:tc>
      </w:tr>
      <w:tr w:rsidR="00E4570C" w14:paraId="12735173" w14:textId="77777777">
        <w:trPr>
          <w:trHeight w:val="324"/>
        </w:trPr>
        <w:tc>
          <w:tcPr>
            <w:tcW w:w="1668" w:type="dxa"/>
            <w:noWrap/>
            <w:vAlign w:val="center"/>
          </w:tcPr>
          <w:p w14:paraId="32878D92" w14:textId="77777777" w:rsidR="00E4570C" w:rsidRDefault="00000000">
            <w:pP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高速逆流层析制备</w:t>
            </w:r>
          </w:p>
        </w:tc>
        <w:tc>
          <w:tcPr>
            <w:tcW w:w="6718" w:type="dxa"/>
            <w:vAlign w:val="center"/>
          </w:tcPr>
          <w:p w14:paraId="0D14DCC6" w14:textId="77777777" w:rsidR="00E4570C" w:rsidRDefault="00000000">
            <w:pPr>
              <w:jc w:val="left"/>
              <w:rPr>
                <w:rFonts w:ascii="Times New Roman" w:eastAsiaTheme="minorEastAsia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主要用于分离茶多酚中的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EGCG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GCG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ECG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EGC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等单体成分。在分别进样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200 mL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50 mL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，流速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5 mL/min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，转速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500 r/min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条件下分离制备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种黄酮单体，均可实现纯度＞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99%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NE.Ref.{0AC6C282-8D49-4984-A27A-CD22F48A5DA6}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[14]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。通过逆流色谱（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CCC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）与制备型高效液相色谱（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HPLC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）偶联构建在线二维系统可实现极性目标的一次性收集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NE.Ref.{A5103381-82C6-4FF8-96D8-0240AB1F3955}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[15-16]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。采用三柱串联放大的高速逆流色谱可将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ECG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与其它茶叶成分较好分离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NE.Ref.{602C4EE4-EFE3-415E-A7AB-CCDB1DDBB0C8}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[17]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。</w:t>
            </w:r>
          </w:p>
        </w:tc>
      </w:tr>
      <w:tr w:rsidR="00E4570C" w14:paraId="5CDCCF96" w14:textId="77777777">
        <w:trPr>
          <w:trHeight w:val="324"/>
        </w:trPr>
        <w:tc>
          <w:tcPr>
            <w:tcW w:w="1668" w:type="dxa"/>
            <w:noWrap/>
            <w:vAlign w:val="center"/>
          </w:tcPr>
          <w:p w14:paraId="6D0860E5" w14:textId="77777777" w:rsidR="00E4570C" w:rsidRDefault="00000000">
            <w:pP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生物酶辅助提取</w:t>
            </w:r>
          </w:p>
        </w:tc>
        <w:tc>
          <w:tcPr>
            <w:tcW w:w="6718" w:type="dxa"/>
            <w:vAlign w:val="center"/>
          </w:tcPr>
          <w:p w14:paraId="6C0D9E21" w14:textId="77777777" w:rsidR="00E4570C" w:rsidRDefault="00000000">
            <w:pPr>
              <w:jc w:val="left"/>
              <w:rPr>
                <w:rFonts w:ascii="Times New Roman" w:eastAsiaTheme="minorEastAsia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纤维素酶结合果胶酶适于浸提绿茶多酚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NE.Ref.{5EE73FFC-1CD1-433E-AEB9-62408468BD36}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[18]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。采用两者配伍的复合酶辅助提取茶多酚，在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 xml:space="preserve">60 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℃、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pH 5.5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、酶解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70 min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条件下，茶多酚提取率可达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22.39%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NE.Ref.{8AEFCCAB-3EBA-4816-A162-7F1A40655609}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[19]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。在纤维素酶用量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200 U/mL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、果胶酶用量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300 U/mL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、浸提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50 min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 xml:space="preserve">40 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℃、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pH 5.0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条件下，茶多酚提取率也能达到类似水平（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23.54%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）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NE.Ref.{55760703-1DBA-4E6C-8BCD-316592DF91CD}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[20]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。以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3</w:t>
            </w:r>
            <w:r>
              <w:rPr>
                <w:rFonts w:ascii="Cambria Math" w:eastAsiaTheme="minorEastAsia" w:hAnsi="Cambria Math" w:cs="Cambria Math" w:hint="eastAsia"/>
                <w:kern w:val="0"/>
                <w:sz w:val="18"/>
                <w:szCs w:val="18"/>
              </w:rPr>
              <w:t>∶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比例纤维素酶和果胶酶作复合酶，在用量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0.6%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、温度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 xml:space="preserve">45 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℃、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pH 4.95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、时间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47.7 min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，</w:t>
            </w:r>
            <w:proofErr w:type="gramStart"/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固液比</w:t>
            </w:r>
            <w:proofErr w:type="gramEnd"/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1</w:t>
            </w:r>
            <w:r>
              <w:rPr>
                <w:rFonts w:ascii="Cambria Math" w:eastAsiaTheme="minorEastAsia" w:hAnsi="Cambria Math" w:cs="Cambria Math" w:hint="eastAsia"/>
                <w:kern w:val="0"/>
                <w:sz w:val="18"/>
                <w:szCs w:val="18"/>
              </w:rPr>
              <w:t>∶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23.6</w:t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等</w:t>
            </w:r>
            <w:proofErr w:type="gramStart"/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条件下茶多酚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得率达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133.2 mg/g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NE.Ref.{E76BDC1F-2795-4D60-83B1-69EF130EB432}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[21]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。有研究指出果胶酶能提高可提取固形物含量，而鞣酸酶预处理能显著提高多酚回收率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begin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instrText xml:space="preserve"> ADDIN NE.Ref.{8BB4E954-AB3F-4EFB-B915-D01C4DE91868}</w:instrTex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  <w:vertAlign w:val="superscript"/>
              </w:rPr>
              <w:t>[22]</w:t>
            </w:r>
            <w:r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>。</w:t>
            </w:r>
          </w:p>
        </w:tc>
      </w:tr>
    </w:tbl>
    <w:p w14:paraId="744D2D58" w14:textId="77777777" w:rsidR="00E4570C" w:rsidRDefault="00000000">
      <w:pPr>
        <w:widowControl/>
        <w:spacing w:line="360" w:lineRule="auto"/>
        <w:ind w:firstLineChars="200" w:firstLine="480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茶多酚的提制效率和产物纯度等受物料粒径，溶剂极性、料液比、提取时间和温度等因素的多重影响。有研究发现，</w:t>
      </w:r>
      <w:r>
        <w:rPr>
          <w:rFonts w:ascii="Times New Roman" w:eastAsiaTheme="minorEastAsia" w:hAnsi="Times New Roman"/>
          <w:sz w:val="24"/>
        </w:rPr>
        <w:t>40%</w:t>
      </w:r>
      <w:r>
        <w:rPr>
          <w:rFonts w:ascii="Times New Roman" w:eastAsiaTheme="minorEastAsia" w:hAnsi="Times New Roman" w:hint="eastAsia"/>
          <w:sz w:val="24"/>
        </w:rPr>
        <w:t>乙醇水溶液作溶剂在长时浸提儿茶素中作用明显</w:t>
      </w:r>
      <w:r>
        <w:rPr>
          <w:rFonts w:ascii="Times New Roman" w:eastAsiaTheme="minorEastAsia" w:hAnsi="Times New Roman"/>
          <w:sz w:val="24"/>
        </w:rPr>
        <w:fldChar w:fldCharType="begin"/>
      </w:r>
      <w:r>
        <w:rPr>
          <w:rFonts w:ascii="Times New Roman" w:eastAsiaTheme="minorEastAsia" w:hAnsi="Times New Roman"/>
          <w:sz w:val="24"/>
        </w:rPr>
        <w:instrText xml:space="preserve"> ADDIN NE.Ref.{C56B3421-92BE-4804-BC71-AF55512E47F6}</w:instrText>
      </w:r>
      <w:r>
        <w:rPr>
          <w:rFonts w:ascii="Times New Roman" w:eastAsiaTheme="minorEastAsia" w:hAnsi="Times New Roman"/>
          <w:sz w:val="24"/>
        </w:rPr>
        <w:fldChar w:fldCharType="separate"/>
      </w:r>
      <w:r>
        <w:rPr>
          <w:rFonts w:ascii="Times New Roman" w:eastAsiaTheme="minorEastAsia" w:hAnsi="Times New Roman"/>
          <w:kern w:val="0"/>
          <w:sz w:val="24"/>
          <w:vertAlign w:val="superscript"/>
        </w:rPr>
        <w:t>[17]</w:t>
      </w:r>
      <w:r>
        <w:rPr>
          <w:rFonts w:ascii="Times New Roman" w:eastAsiaTheme="minorEastAsia" w:hAnsi="Times New Roman"/>
          <w:sz w:val="24"/>
        </w:rPr>
        <w:fldChar w:fldCharType="end"/>
      </w:r>
      <w:r>
        <w:rPr>
          <w:rFonts w:ascii="Times New Roman" w:eastAsiaTheme="minorEastAsia" w:hAnsi="Times New Roman" w:hint="eastAsia"/>
          <w:sz w:val="24"/>
        </w:rPr>
        <w:t>。将不同提制技术与提取</w:t>
      </w:r>
      <w:proofErr w:type="gramStart"/>
      <w:r>
        <w:rPr>
          <w:rFonts w:ascii="Times New Roman" w:eastAsiaTheme="minorEastAsia" w:hAnsi="Times New Roman" w:hint="eastAsia"/>
          <w:sz w:val="24"/>
        </w:rPr>
        <w:t>剂相互</w:t>
      </w:r>
      <w:proofErr w:type="gramEnd"/>
      <w:r>
        <w:rPr>
          <w:rFonts w:ascii="Times New Roman" w:eastAsiaTheme="minorEastAsia" w:hAnsi="Times New Roman" w:hint="eastAsia"/>
          <w:sz w:val="24"/>
        </w:rPr>
        <w:t>组合，可得到不同规格的茶多酚系列化产物</w:t>
      </w:r>
      <w:r>
        <w:rPr>
          <w:rFonts w:ascii="Times New Roman" w:eastAsiaTheme="minorEastAsia" w:hAnsi="Times New Roman"/>
          <w:sz w:val="24"/>
        </w:rPr>
        <w:fldChar w:fldCharType="begin"/>
      </w:r>
      <w:r>
        <w:rPr>
          <w:rFonts w:ascii="Times New Roman" w:eastAsiaTheme="minorEastAsia" w:hAnsi="Times New Roman"/>
          <w:sz w:val="24"/>
        </w:rPr>
        <w:instrText xml:space="preserve"> ADDIN NE.Ref.{6053015E-896C-4CEA-BB94-FFA0C8C76F79}</w:instrText>
      </w:r>
      <w:r>
        <w:rPr>
          <w:rFonts w:ascii="Times New Roman" w:eastAsiaTheme="minorEastAsia" w:hAnsi="Times New Roman"/>
          <w:sz w:val="24"/>
        </w:rPr>
        <w:fldChar w:fldCharType="separate"/>
      </w:r>
      <w:r>
        <w:rPr>
          <w:rFonts w:ascii="Times New Roman" w:eastAsiaTheme="minorEastAsia" w:hAnsi="Times New Roman"/>
          <w:kern w:val="0"/>
          <w:sz w:val="24"/>
          <w:vertAlign w:val="superscript"/>
        </w:rPr>
        <w:t>[18-19]</w:t>
      </w:r>
      <w:r>
        <w:rPr>
          <w:rFonts w:ascii="Times New Roman" w:eastAsiaTheme="minorEastAsia" w:hAnsi="Times New Roman"/>
          <w:sz w:val="24"/>
        </w:rPr>
        <w:fldChar w:fldCharType="end"/>
      </w:r>
      <w:r>
        <w:rPr>
          <w:rFonts w:ascii="Times New Roman" w:eastAsiaTheme="minorEastAsia" w:hAnsi="Times New Roman" w:hint="eastAsia"/>
          <w:sz w:val="24"/>
        </w:rPr>
        <w:t>。</w:t>
      </w:r>
    </w:p>
    <w:p w14:paraId="2F1DDADC" w14:textId="77777777" w:rsidR="00E4570C" w:rsidRDefault="00000000">
      <w:pPr>
        <w:spacing w:line="360" w:lineRule="auto"/>
        <w:ind w:firstLineChars="200" w:firstLine="480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近年来，随着技术演化和发展，茶多酚提制效率和产品品质得到了进一步提高。一方面表现为产品纯度不断提高，同时单位产品的生产成本也不断下降，另</w:t>
      </w:r>
      <w:r>
        <w:rPr>
          <w:rFonts w:ascii="Times New Roman" w:eastAsiaTheme="minorEastAsia" w:hAnsi="Times New Roman" w:hint="eastAsia"/>
          <w:sz w:val="24"/>
        </w:rPr>
        <w:lastRenderedPageBreak/>
        <w:t>一方面产品规格多样化，即不同操作单元都能对茶多酚进行差异化提纯分离，可获得规格不一的系列化产品，满足市场多元化需求</w:t>
      </w:r>
      <w:r>
        <w:rPr>
          <w:rFonts w:ascii="Times New Roman" w:eastAsiaTheme="minorEastAsia" w:hAnsi="Times New Roman"/>
          <w:sz w:val="24"/>
        </w:rPr>
        <w:fldChar w:fldCharType="begin"/>
      </w:r>
      <w:r>
        <w:rPr>
          <w:rFonts w:ascii="Times New Roman" w:eastAsiaTheme="minorEastAsia" w:hAnsi="Times New Roman"/>
          <w:sz w:val="24"/>
        </w:rPr>
        <w:instrText xml:space="preserve"> ADDIN NE.Ref.{A7C2F079-D42B-4E85-8F91-BBFFCB133569}</w:instrText>
      </w:r>
      <w:r>
        <w:rPr>
          <w:rFonts w:ascii="Times New Roman" w:eastAsiaTheme="minorEastAsia" w:hAnsi="Times New Roman"/>
          <w:sz w:val="24"/>
        </w:rPr>
        <w:fldChar w:fldCharType="separate"/>
      </w:r>
      <w:r>
        <w:rPr>
          <w:rFonts w:ascii="Times New Roman" w:eastAsiaTheme="minorEastAsia" w:hAnsi="Times New Roman"/>
          <w:kern w:val="0"/>
          <w:sz w:val="24"/>
          <w:vertAlign w:val="superscript"/>
        </w:rPr>
        <w:t>[2,23]</w:t>
      </w:r>
      <w:r>
        <w:rPr>
          <w:rFonts w:ascii="Times New Roman" w:eastAsiaTheme="minorEastAsia" w:hAnsi="Times New Roman"/>
          <w:sz w:val="24"/>
        </w:rPr>
        <w:fldChar w:fldCharType="end"/>
      </w:r>
      <w:r>
        <w:rPr>
          <w:rFonts w:ascii="Times New Roman" w:eastAsiaTheme="minorEastAsia" w:hAnsi="Times New Roman" w:hint="eastAsia"/>
          <w:sz w:val="24"/>
        </w:rPr>
        <w:t>。</w:t>
      </w:r>
    </w:p>
    <w:p w14:paraId="6C2C7D4F" w14:textId="77777777" w:rsidR="00E4570C" w:rsidRDefault="00000000">
      <w:pPr>
        <w:spacing w:line="360" w:lineRule="auto"/>
        <w:outlineLvl w:val="2"/>
        <w:rPr>
          <w:rFonts w:ascii="Times New Roman" w:eastAsiaTheme="minorEastAsia" w:hAnsi="Times New Roman"/>
          <w:b/>
          <w:bCs/>
          <w:sz w:val="24"/>
        </w:rPr>
      </w:pPr>
      <w:r>
        <w:rPr>
          <w:rFonts w:ascii="Times New Roman" w:eastAsiaTheme="minorEastAsia" w:hAnsi="Times New Roman"/>
          <w:b/>
          <w:bCs/>
          <w:sz w:val="24"/>
        </w:rPr>
        <w:t xml:space="preserve">1.2 </w:t>
      </w:r>
      <w:r>
        <w:rPr>
          <w:rFonts w:ascii="Times New Roman" w:eastAsiaTheme="minorEastAsia" w:hAnsi="Times New Roman" w:hint="eastAsia"/>
          <w:b/>
          <w:bCs/>
          <w:sz w:val="24"/>
        </w:rPr>
        <w:t>茶多酚制备相关专利</w:t>
      </w:r>
    </w:p>
    <w:p w14:paraId="01D03770" w14:textId="77777777" w:rsidR="00E4570C" w:rsidRDefault="00000000">
      <w:pPr>
        <w:spacing w:line="360" w:lineRule="auto"/>
        <w:ind w:firstLineChars="200" w:firstLine="480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 w:hint="eastAsia"/>
          <w:sz w:val="24"/>
        </w:rPr>
        <w:t>涉及茶多酚生产加工相关专利数量多，其内容涉及茶叶</w:t>
      </w:r>
      <w:r>
        <w:rPr>
          <w:rFonts w:ascii="Times New Roman" w:eastAsiaTheme="minorEastAsia" w:hAnsi="Times New Roman"/>
          <w:sz w:val="24"/>
        </w:rPr>
        <w:t>/</w:t>
      </w:r>
      <w:r>
        <w:rPr>
          <w:rFonts w:ascii="Times New Roman" w:eastAsiaTheme="minorEastAsia" w:hAnsi="Times New Roman" w:hint="eastAsia"/>
          <w:sz w:val="24"/>
        </w:rPr>
        <w:t>鲜叶预处理（如粉碎、酶解、破壁、茶叶</w:t>
      </w:r>
      <w:proofErr w:type="gramStart"/>
      <w:r>
        <w:rPr>
          <w:rFonts w:ascii="Times New Roman" w:eastAsiaTheme="minorEastAsia" w:hAnsi="Times New Roman" w:hint="eastAsia"/>
          <w:sz w:val="24"/>
        </w:rPr>
        <w:t>浆</w:t>
      </w:r>
      <w:proofErr w:type="gramEnd"/>
      <w:r>
        <w:rPr>
          <w:rFonts w:ascii="Times New Roman" w:eastAsiaTheme="minorEastAsia" w:hAnsi="Times New Roman" w:hint="eastAsia"/>
          <w:sz w:val="24"/>
        </w:rPr>
        <w:t>制备、茶叶冷冻干燥）、工艺流程、提取（如超声提取、超临界提取）、纯化（如大孔树脂吸附）及与此过程相关的其他内容（如防止浸泡茶叶堆积）。根据国家知识产权局数据，部分公布</w:t>
      </w:r>
      <w:proofErr w:type="gramStart"/>
      <w:r>
        <w:rPr>
          <w:rFonts w:ascii="Times New Roman" w:eastAsiaTheme="minorEastAsia" w:hAnsi="Times New Roman" w:hint="eastAsia"/>
          <w:sz w:val="24"/>
        </w:rPr>
        <w:t>的涉茶多酚</w:t>
      </w:r>
      <w:proofErr w:type="gramEnd"/>
      <w:r>
        <w:rPr>
          <w:rFonts w:ascii="Times New Roman" w:eastAsiaTheme="minorEastAsia" w:hAnsi="Times New Roman" w:hint="eastAsia"/>
          <w:sz w:val="24"/>
        </w:rPr>
        <w:t>制备的专利见表</w:t>
      </w:r>
      <w:r>
        <w:rPr>
          <w:rFonts w:ascii="Times New Roman" w:eastAsiaTheme="minorEastAsia" w:hAnsi="Times New Roman"/>
          <w:sz w:val="24"/>
        </w:rPr>
        <w:t>2</w:t>
      </w:r>
      <w:r>
        <w:rPr>
          <w:rFonts w:ascii="Times New Roman" w:eastAsiaTheme="minorEastAsia" w:hAnsi="Times New Roman" w:hint="eastAsia"/>
          <w:sz w:val="24"/>
        </w:rPr>
        <w:t>。</w:t>
      </w:r>
    </w:p>
    <w:p w14:paraId="2BEB815B" w14:textId="77777777" w:rsidR="00E4570C" w:rsidRDefault="00000000">
      <w:pPr>
        <w:spacing w:line="360" w:lineRule="auto"/>
        <w:jc w:val="center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表</w:t>
      </w:r>
      <w:r>
        <w:rPr>
          <w:rFonts w:ascii="Times New Roman" w:eastAsiaTheme="minorEastAsia" w:hAnsi="Times New Roman"/>
          <w:sz w:val="24"/>
        </w:rPr>
        <w:t xml:space="preserve">2 </w:t>
      </w:r>
      <w:r>
        <w:rPr>
          <w:rFonts w:ascii="Times New Roman" w:eastAsiaTheme="minorEastAsia" w:hAnsi="Times New Roman" w:hint="eastAsia"/>
          <w:sz w:val="24"/>
        </w:rPr>
        <w:t>部分茶多酚制备相关专利</w:t>
      </w:r>
    </w:p>
    <w:tbl>
      <w:tblPr>
        <w:tblStyle w:val="af"/>
        <w:tblW w:w="8490" w:type="dxa"/>
        <w:tblLook w:val="04A0" w:firstRow="1" w:lastRow="0" w:firstColumn="1" w:lastColumn="0" w:noHBand="0" w:noVBand="1"/>
      </w:tblPr>
      <w:tblGrid>
        <w:gridCol w:w="4245"/>
        <w:gridCol w:w="4245"/>
      </w:tblGrid>
      <w:tr w:rsidR="00E4570C" w14:paraId="1A7A734C" w14:textId="77777777">
        <w:trPr>
          <w:trHeight w:val="285"/>
        </w:trPr>
        <w:tc>
          <w:tcPr>
            <w:tcW w:w="4245" w:type="dxa"/>
          </w:tcPr>
          <w:p w14:paraId="04CE4659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从茶叶中联合提取茶多酚、</w:t>
            </w: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茶硒肽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的方法</w:t>
            </w:r>
          </w:p>
        </w:tc>
        <w:tc>
          <w:tcPr>
            <w:tcW w:w="4245" w:type="dxa"/>
          </w:tcPr>
          <w:p w14:paraId="786D76FB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种茶多酚提取装置</w:t>
            </w:r>
          </w:p>
        </w:tc>
      </w:tr>
      <w:tr w:rsidR="00E4570C" w14:paraId="6BA49086" w14:textId="77777777">
        <w:trPr>
          <w:trHeight w:val="465"/>
        </w:trPr>
        <w:tc>
          <w:tcPr>
            <w:tcW w:w="4245" w:type="dxa"/>
          </w:tcPr>
          <w:p w14:paraId="66A5E4AD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一种茶叶中茶多酚的提取装置及方法</w:t>
            </w:r>
          </w:p>
        </w:tc>
        <w:tc>
          <w:tcPr>
            <w:tcW w:w="4245" w:type="dxa"/>
          </w:tcPr>
          <w:p w14:paraId="0542B84A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一种从茶叶中提取低咖啡碱、无农残、</w:t>
            </w: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无酯茶多酚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的方法</w:t>
            </w:r>
          </w:p>
        </w:tc>
      </w:tr>
      <w:tr w:rsidR="00E4570C" w14:paraId="201DB724" w14:textId="77777777">
        <w:trPr>
          <w:trHeight w:val="285"/>
        </w:trPr>
        <w:tc>
          <w:tcPr>
            <w:tcW w:w="4245" w:type="dxa"/>
          </w:tcPr>
          <w:p w14:paraId="234953E0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种茶多酚提取天然产物的提取设备</w:t>
            </w:r>
          </w:p>
        </w:tc>
        <w:tc>
          <w:tcPr>
            <w:tcW w:w="4245" w:type="dxa"/>
          </w:tcPr>
          <w:p w14:paraId="4F238121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种茶多酚加工用碾碎式风干装置</w:t>
            </w:r>
          </w:p>
        </w:tc>
      </w:tr>
      <w:tr w:rsidR="00E4570C" w14:paraId="2F52FE78" w14:textId="77777777">
        <w:trPr>
          <w:trHeight w:val="285"/>
        </w:trPr>
        <w:tc>
          <w:tcPr>
            <w:tcW w:w="4245" w:type="dxa"/>
          </w:tcPr>
          <w:p w14:paraId="2F07A5FD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种茶多酚生产加工用提取方法</w:t>
            </w:r>
          </w:p>
        </w:tc>
        <w:tc>
          <w:tcPr>
            <w:tcW w:w="4245" w:type="dxa"/>
          </w:tcPr>
          <w:p w14:paraId="5377A071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种茶多酚提取用茶叶破碎预处理装置</w:t>
            </w:r>
          </w:p>
        </w:tc>
      </w:tr>
      <w:tr w:rsidR="00E4570C" w14:paraId="62842273" w14:textId="77777777">
        <w:trPr>
          <w:trHeight w:val="465"/>
        </w:trPr>
        <w:tc>
          <w:tcPr>
            <w:tcW w:w="4245" w:type="dxa"/>
          </w:tcPr>
          <w:p w14:paraId="1DF91F42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离心分馏萃取从茶多酚中分离没食子儿茶素、表儿茶素和咖啡碱</w:t>
            </w:r>
          </w:p>
        </w:tc>
        <w:tc>
          <w:tcPr>
            <w:tcW w:w="4245" w:type="dxa"/>
          </w:tcPr>
          <w:p w14:paraId="7930DC66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一种富含</w:t>
            </w: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EGC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的</w:t>
            </w: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非酯型茶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多酚的制备方法</w:t>
            </w:r>
          </w:p>
        </w:tc>
      </w:tr>
      <w:tr w:rsidR="00E4570C" w14:paraId="4DF132FF" w14:textId="77777777">
        <w:trPr>
          <w:trHeight w:val="285"/>
        </w:trPr>
        <w:tc>
          <w:tcPr>
            <w:tcW w:w="4245" w:type="dxa"/>
          </w:tcPr>
          <w:p w14:paraId="022A771D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种茶多酚连续分离提取工艺及提取设备</w:t>
            </w:r>
          </w:p>
        </w:tc>
        <w:tc>
          <w:tcPr>
            <w:tcW w:w="4245" w:type="dxa"/>
          </w:tcPr>
          <w:p w14:paraId="32284524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种茶多酚生产提取过程中的茶渣分离装置</w:t>
            </w:r>
          </w:p>
        </w:tc>
      </w:tr>
      <w:tr w:rsidR="00E4570C" w14:paraId="0A64715C" w14:textId="77777777">
        <w:trPr>
          <w:trHeight w:val="285"/>
        </w:trPr>
        <w:tc>
          <w:tcPr>
            <w:tcW w:w="4245" w:type="dxa"/>
          </w:tcPr>
          <w:p w14:paraId="393E44F7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种茶多酚提取方法</w:t>
            </w:r>
          </w:p>
        </w:tc>
        <w:tc>
          <w:tcPr>
            <w:tcW w:w="4245" w:type="dxa"/>
          </w:tcPr>
          <w:p w14:paraId="24E899E3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一种控温茶多酚高纯度分离提取装置</w:t>
            </w:r>
          </w:p>
        </w:tc>
      </w:tr>
      <w:tr w:rsidR="00E4570C" w14:paraId="5FC246DA" w14:textId="77777777">
        <w:trPr>
          <w:trHeight w:val="285"/>
        </w:trPr>
        <w:tc>
          <w:tcPr>
            <w:tcW w:w="4245" w:type="dxa"/>
          </w:tcPr>
          <w:p w14:paraId="4A5D8C5F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种茶多酚溶解提取装置</w:t>
            </w:r>
          </w:p>
        </w:tc>
        <w:tc>
          <w:tcPr>
            <w:tcW w:w="4245" w:type="dxa"/>
          </w:tcPr>
          <w:p w14:paraId="01DEE9F7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一种水提树脂精致法茶叶提取设备</w:t>
            </w:r>
          </w:p>
        </w:tc>
      </w:tr>
      <w:tr w:rsidR="00E4570C" w14:paraId="602E9F24" w14:textId="77777777">
        <w:trPr>
          <w:trHeight w:val="285"/>
        </w:trPr>
        <w:tc>
          <w:tcPr>
            <w:tcW w:w="4245" w:type="dxa"/>
          </w:tcPr>
          <w:p w14:paraId="3B24F3C9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一种茶叶提取物组合物及其制备方法和应用</w:t>
            </w:r>
          </w:p>
        </w:tc>
        <w:tc>
          <w:tcPr>
            <w:tcW w:w="4245" w:type="dxa"/>
          </w:tcPr>
          <w:p w14:paraId="13A947A7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种茶多酚提取方法</w:t>
            </w:r>
          </w:p>
        </w:tc>
      </w:tr>
      <w:tr w:rsidR="00E4570C" w14:paraId="010A73B0" w14:textId="77777777">
        <w:trPr>
          <w:trHeight w:val="285"/>
        </w:trPr>
        <w:tc>
          <w:tcPr>
            <w:tcW w:w="4245" w:type="dxa"/>
          </w:tcPr>
          <w:p w14:paraId="779C213C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茶多酚的提取方法</w:t>
            </w:r>
          </w:p>
        </w:tc>
        <w:tc>
          <w:tcPr>
            <w:tcW w:w="4245" w:type="dxa"/>
          </w:tcPr>
          <w:p w14:paraId="3BB3EFFC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种茶多酚的过滤提炼设备</w:t>
            </w:r>
          </w:p>
        </w:tc>
      </w:tr>
      <w:tr w:rsidR="00E4570C" w14:paraId="59E599F5" w14:textId="77777777">
        <w:trPr>
          <w:trHeight w:val="285"/>
        </w:trPr>
        <w:tc>
          <w:tcPr>
            <w:tcW w:w="4245" w:type="dxa"/>
          </w:tcPr>
          <w:p w14:paraId="0904D1F3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一种采用乙酸乙酯萃取的茶多酚制备方法</w:t>
            </w:r>
          </w:p>
        </w:tc>
        <w:tc>
          <w:tcPr>
            <w:tcW w:w="4245" w:type="dxa"/>
          </w:tcPr>
          <w:p w14:paraId="18F714CC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茶多酚下料口</w:t>
            </w:r>
          </w:p>
        </w:tc>
      </w:tr>
      <w:tr w:rsidR="00E4570C" w14:paraId="6A6BFFC4" w14:textId="77777777">
        <w:trPr>
          <w:trHeight w:val="285"/>
        </w:trPr>
        <w:tc>
          <w:tcPr>
            <w:tcW w:w="4245" w:type="dxa"/>
          </w:tcPr>
          <w:p w14:paraId="585024E8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种茶多酚的提取方法</w:t>
            </w:r>
          </w:p>
        </w:tc>
        <w:tc>
          <w:tcPr>
            <w:tcW w:w="4245" w:type="dxa"/>
          </w:tcPr>
          <w:p w14:paraId="15A4B2CC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茶多酚制备系统中的有机相回收装置</w:t>
            </w:r>
          </w:p>
        </w:tc>
      </w:tr>
      <w:tr w:rsidR="00E4570C" w14:paraId="067BC555" w14:textId="77777777">
        <w:trPr>
          <w:trHeight w:val="285"/>
        </w:trPr>
        <w:tc>
          <w:tcPr>
            <w:tcW w:w="4245" w:type="dxa"/>
          </w:tcPr>
          <w:p w14:paraId="4C40033B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一种从茶叶</w:t>
            </w: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提取高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纯度茶多酚的工艺</w:t>
            </w:r>
          </w:p>
        </w:tc>
        <w:tc>
          <w:tcPr>
            <w:tcW w:w="4245" w:type="dxa"/>
          </w:tcPr>
          <w:p w14:paraId="4EC8C008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种茶多酚的提取和分离方法</w:t>
            </w:r>
          </w:p>
        </w:tc>
      </w:tr>
      <w:tr w:rsidR="00E4570C" w14:paraId="1D776F42" w14:textId="77777777">
        <w:trPr>
          <w:trHeight w:val="465"/>
        </w:trPr>
        <w:tc>
          <w:tcPr>
            <w:tcW w:w="4245" w:type="dxa"/>
          </w:tcPr>
          <w:p w14:paraId="554DF9DC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种茶多酚提取工艺</w:t>
            </w:r>
          </w:p>
        </w:tc>
        <w:tc>
          <w:tcPr>
            <w:tcW w:w="4245" w:type="dxa"/>
          </w:tcPr>
          <w:p w14:paraId="2B775EAA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采用大孔树脂</w:t>
            </w: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步法制备高纯度表没食子儿茶素没食子酸酯的方法</w:t>
            </w:r>
          </w:p>
        </w:tc>
      </w:tr>
      <w:tr w:rsidR="00E4570C" w14:paraId="5E79E79B" w14:textId="77777777">
        <w:trPr>
          <w:trHeight w:val="285"/>
        </w:trPr>
        <w:tc>
          <w:tcPr>
            <w:tcW w:w="4245" w:type="dxa"/>
          </w:tcPr>
          <w:p w14:paraId="09F4061B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种茶多酚的制备纯化方法及其在减肥产品中的应用</w:t>
            </w:r>
          </w:p>
        </w:tc>
        <w:tc>
          <w:tcPr>
            <w:tcW w:w="4245" w:type="dxa"/>
          </w:tcPr>
          <w:p w14:paraId="719AE617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一种复合酶超临界流体萃取茶多酚的制备方法</w:t>
            </w:r>
          </w:p>
        </w:tc>
      </w:tr>
      <w:tr w:rsidR="00E4570C" w14:paraId="3B2476A7" w14:textId="77777777">
        <w:trPr>
          <w:trHeight w:val="465"/>
        </w:trPr>
        <w:tc>
          <w:tcPr>
            <w:tcW w:w="4245" w:type="dxa"/>
          </w:tcPr>
          <w:p w14:paraId="05B70AD7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种茶多酚制备的工艺</w:t>
            </w:r>
          </w:p>
        </w:tc>
        <w:tc>
          <w:tcPr>
            <w:tcW w:w="4245" w:type="dxa"/>
          </w:tcPr>
          <w:p w14:paraId="5A27924D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一种利用响应面法复合酶优化绿茶</w:t>
            </w: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茶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多酚的提取工艺</w:t>
            </w:r>
          </w:p>
        </w:tc>
      </w:tr>
      <w:tr w:rsidR="00E4570C" w14:paraId="3B4AD897" w14:textId="77777777">
        <w:trPr>
          <w:trHeight w:val="285"/>
        </w:trPr>
        <w:tc>
          <w:tcPr>
            <w:tcW w:w="4245" w:type="dxa"/>
          </w:tcPr>
          <w:p w14:paraId="00E8C6FA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一种化妆品用茶多酚高纯度提取装置</w:t>
            </w:r>
          </w:p>
        </w:tc>
        <w:tc>
          <w:tcPr>
            <w:tcW w:w="4245" w:type="dxa"/>
          </w:tcPr>
          <w:p w14:paraId="7D262448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一种</w:t>
            </w: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基于柱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层析茶多酚提纯方法</w:t>
            </w:r>
          </w:p>
        </w:tc>
      </w:tr>
      <w:tr w:rsidR="00E4570C" w14:paraId="6A9706F2" w14:textId="77777777">
        <w:trPr>
          <w:trHeight w:val="465"/>
        </w:trPr>
        <w:tc>
          <w:tcPr>
            <w:tcW w:w="4245" w:type="dxa"/>
          </w:tcPr>
          <w:p w14:paraId="4163F697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种茶多酚的提取方法</w:t>
            </w:r>
          </w:p>
        </w:tc>
        <w:tc>
          <w:tcPr>
            <w:tcW w:w="4245" w:type="dxa"/>
          </w:tcPr>
          <w:p w14:paraId="32F7E19D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高山古树茶</w:t>
            </w: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茶</w:t>
            </w:r>
            <w:proofErr w:type="gramEnd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多酚提取纯化技术及抗氧化冲剂的制备工艺</w:t>
            </w:r>
          </w:p>
        </w:tc>
      </w:tr>
    </w:tbl>
    <w:p w14:paraId="376937E8" w14:textId="77777777" w:rsidR="00E4570C" w:rsidRDefault="00000000">
      <w:pPr>
        <w:widowControl/>
        <w:jc w:val="left"/>
        <w:rPr>
          <w:rFonts w:ascii="Times New Roman" w:eastAsiaTheme="minorEastAsia" w:hAnsi="Times New Roman"/>
          <w:sz w:val="18"/>
          <w:szCs w:val="18"/>
          <w:lang w:bidi="ar"/>
        </w:rPr>
      </w:pPr>
      <w:r>
        <w:rPr>
          <w:rFonts w:ascii="Times New Roman" w:eastAsiaTheme="minorEastAsia" w:hAnsi="Times New Roman" w:hint="eastAsia"/>
          <w:sz w:val="18"/>
          <w:szCs w:val="18"/>
          <w:lang w:bidi="ar"/>
        </w:rPr>
        <w:t>注：资料来源为国家知识产权</w:t>
      </w:r>
      <w:proofErr w:type="gramStart"/>
      <w:r>
        <w:rPr>
          <w:rFonts w:ascii="Times New Roman" w:eastAsiaTheme="minorEastAsia" w:hAnsi="Times New Roman" w:hint="eastAsia"/>
          <w:sz w:val="18"/>
          <w:szCs w:val="18"/>
          <w:lang w:bidi="ar"/>
        </w:rPr>
        <w:t>局官网</w:t>
      </w:r>
      <w:proofErr w:type="gramEnd"/>
      <w:r>
        <w:rPr>
          <w:rFonts w:ascii="Times New Roman" w:eastAsiaTheme="minorEastAsia" w:hAnsi="Times New Roman" w:hint="eastAsia"/>
          <w:sz w:val="18"/>
          <w:szCs w:val="18"/>
          <w:lang w:bidi="ar"/>
        </w:rPr>
        <w:t>。</w:t>
      </w:r>
    </w:p>
    <w:p w14:paraId="406C910F" w14:textId="77777777" w:rsidR="00E4570C" w:rsidRDefault="00000000">
      <w:pPr>
        <w:adjustRightInd w:val="0"/>
        <w:snapToGrid w:val="0"/>
        <w:spacing w:line="360" w:lineRule="auto"/>
        <w:outlineLvl w:val="1"/>
        <w:rPr>
          <w:rFonts w:ascii="Times New Roman" w:eastAsiaTheme="minorEastAsia" w:hAnsi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hint="eastAsia"/>
          <w:b/>
          <w:bCs/>
          <w:sz w:val="28"/>
          <w:szCs w:val="28"/>
        </w:rPr>
        <w:t xml:space="preserve">3. </w:t>
      </w:r>
      <w:r>
        <w:rPr>
          <w:rFonts w:ascii="Times New Roman" w:eastAsiaTheme="minorEastAsia" w:hAnsi="Times New Roman" w:hint="eastAsia"/>
          <w:b/>
          <w:bCs/>
          <w:sz w:val="28"/>
          <w:szCs w:val="28"/>
        </w:rPr>
        <w:t>相关研究基础</w:t>
      </w:r>
    </w:p>
    <w:p w14:paraId="2005C6D1" w14:textId="77777777" w:rsidR="00E4570C" w:rsidRDefault="00000000">
      <w:pPr>
        <w:widowControl/>
        <w:spacing w:line="360" w:lineRule="auto"/>
        <w:ind w:firstLineChars="200" w:firstLine="480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根据标准研制需求，起草小组走访调研了多个茶多酚生产企业。茶多酚产品规格种类差异较大，即使酚类成分含量接近，但其内在具体组成也存在较大差别。</w:t>
      </w:r>
      <w:r>
        <w:rPr>
          <w:rFonts w:ascii="Times New Roman" w:eastAsiaTheme="minorEastAsia" w:hAnsi="Times New Roman" w:hint="eastAsia"/>
          <w:sz w:val="24"/>
        </w:rPr>
        <w:lastRenderedPageBreak/>
        <w:t>收集了来自全国多个茶多酚生产厂家的茶多酚样品进行了检测。参照</w:t>
      </w:r>
      <w:r>
        <w:rPr>
          <w:rFonts w:ascii="Times New Roman" w:eastAsiaTheme="minorEastAsia" w:hAnsi="Times New Roman"/>
          <w:sz w:val="24"/>
        </w:rPr>
        <w:t>GB/T 31740.2-2015</w:t>
      </w:r>
      <w:r>
        <w:rPr>
          <w:rFonts w:ascii="Times New Roman" w:eastAsiaTheme="minorEastAsia" w:hAnsi="Times New Roman" w:hint="eastAsia"/>
          <w:sz w:val="24"/>
        </w:rPr>
        <w:t>《茶制品</w:t>
      </w:r>
      <w:r>
        <w:rPr>
          <w:rFonts w:ascii="Times New Roman" w:eastAsiaTheme="minorEastAsia" w:hAnsi="Times New Roman"/>
          <w:sz w:val="24"/>
        </w:rPr>
        <w:t xml:space="preserve"> </w:t>
      </w:r>
      <w:r>
        <w:rPr>
          <w:rFonts w:ascii="Times New Roman" w:eastAsiaTheme="minorEastAsia" w:hAnsi="Times New Roman" w:hint="eastAsia"/>
          <w:sz w:val="24"/>
        </w:rPr>
        <w:t>第</w:t>
      </w:r>
      <w:r>
        <w:rPr>
          <w:rFonts w:ascii="Times New Roman" w:eastAsiaTheme="minorEastAsia" w:hAnsi="Times New Roman"/>
          <w:sz w:val="24"/>
        </w:rPr>
        <w:t>2</w:t>
      </w:r>
      <w:r>
        <w:rPr>
          <w:rFonts w:ascii="Times New Roman" w:eastAsiaTheme="minorEastAsia" w:hAnsi="Times New Roman" w:hint="eastAsia"/>
          <w:sz w:val="24"/>
        </w:rPr>
        <w:t>部分：茶多酚》，具体分析见表</w:t>
      </w:r>
      <w:r>
        <w:rPr>
          <w:rFonts w:ascii="Times New Roman" w:eastAsiaTheme="minorEastAsia" w:hAnsi="Times New Roman" w:hint="eastAsia"/>
          <w:sz w:val="24"/>
        </w:rPr>
        <w:t>3</w:t>
      </w:r>
      <w:r>
        <w:rPr>
          <w:rFonts w:ascii="Times New Roman" w:eastAsiaTheme="minorEastAsia" w:hAnsi="Times New Roman" w:hint="eastAsia"/>
          <w:sz w:val="24"/>
        </w:rPr>
        <w:t>至表</w:t>
      </w:r>
      <w:r>
        <w:rPr>
          <w:rFonts w:ascii="Times New Roman" w:eastAsiaTheme="minorEastAsia" w:hAnsi="Times New Roman" w:hint="eastAsia"/>
          <w:sz w:val="24"/>
        </w:rPr>
        <w:t>5</w:t>
      </w:r>
      <w:r>
        <w:rPr>
          <w:rFonts w:ascii="Times New Roman" w:eastAsiaTheme="minorEastAsia" w:hAnsi="Times New Roman" w:hint="eastAsia"/>
          <w:sz w:val="24"/>
        </w:rPr>
        <w:t>。</w:t>
      </w:r>
    </w:p>
    <w:p w14:paraId="18A8F5A7" w14:textId="77777777" w:rsidR="00E4570C" w:rsidRDefault="00000000">
      <w:pPr>
        <w:jc w:val="center"/>
        <w:rPr>
          <w:rFonts w:ascii="Times New Roman" w:eastAsiaTheme="minorEastAsia" w:hAnsi="Times New Roman"/>
          <w:bCs/>
          <w:sz w:val="24"/>
        </w:rPr>
      </w:pPr>
      <w:r>
        <w:rPr>
          <w:rFonts w:ascii="Times New Roman" w:eastAsiaTheme="minorEastAsia" w:hAnsi="Times New Roman" w:hint="eastAsia"/>
          <w:bCs/>
          <w:sz w:val="24"/>
        </w:rPr>
        <w:t>表</w:t>
      </w:r>
      <w:r>
        <w:rPr>
          <w:rFonts w:ascii="Times New Roman" w:eastAsiaTheme="minorEastAsia" w:hAnsi="Times New Roman" w:hint="eastAsia"/>
          <w:bCs/>
          <w:sz w:val="24"/>
        </w:rPr>
        <w:t>3</w:t>
      </w:r>
      <w:r>
        <w:rPr>
          <w:rFonts w:ascii="Times New Roman" w:eastAsiaTheme="minorEastAsia" w:hAnsi="Times New Roman"/>
          <w:bCs/>
          <w:sz w:val="24"/>
        </w:rPr>
        <w:t xml:space="preserve"> TP-30</w:t>
      </w:r>
      <w:r>
        <w:rPr>
          <w:rFonts w:ascii="Times New Roman" w:eastAsiaTheme="minorEastAsia" w:hAnsi="Times New Roman" w:hint="eastAsia"/>
          <w:bCs/>
          <w:sz w:val="24"/>
        </w:rPr>
        <w:t>理化指标数据</w:t>
      </w:r>
    </w:p>
    <w:tbl>
      <w:tblPr>
        <w:tblStyle w:val="af"/>
        <w:tblW w:w="4998" w:type="pct"/>
        <w:tblLook w:val="04A0" w:firstRow="1" w:lastRow="0" w:firstColumn="1" w:lastColumn="0" w:noHBand="0" w:noVBand="1"/>
      </w:tblPr>
      <w:tblGrid>
        <w:gridCol w:w="1444"/>
        <w:gridCol w:w="1465"/>
        <w:gridCol w:w="1464"/>
        <w:gridCol w:w="1382"/>
        <w:gridCol w:w="1382"/>
        <w:gridCol w:w="1382"/>
      </w:tblGrid>
      <w:tr w:rsidR="00E4570C" w14:paraId="07D7D1F5" w14:textId="77777777">
        <w:tc>
          <w:tcPr>
            <w:tcW w:w="847" w:type="pct"/>
          </w:tcPr>
          <w:p w14:paraId="24E4C436" w14:textId="77777777" w:rsidR="00E4570C" w:rsidRPr="00FF3947" w:rsidRDefault="00E4570C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859" w:type="pct"/>
          </w:tcPr>
          <w:p w14:paraId="77481C76" w14:textId="77777777" w:rsidR="00E4570C" w:rsidRPr="00FF3947" w:rsidRDefault="00000000">
            <w:pPr>
              <w:widowControl/>
              <w:jc w:val="center"/>
              <w:textAlignment w:val="bottom"/>
              <w:rPr>
                <w:rFonts w:ascii="Times New Roman" w:eastAsiaTheme="minorEastAsia" w:hAnsi="Times New Roman"/>
                <w:szCs w:val="21"/>
              </w:rPr>
            </w:pPr>
            <w:r w:rsidRPr="00FF3947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茶多酚总量（</w:t>
            </w:r>
            <w:r w:rsidRPr="00FF3947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%</w:t>
            </w:r>
            <w:r w:rsidRPr="00FF3947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）</w:t>
            </w:r>
          </w:p>
        </w:tc>
        <w:tc>
          <w:tcPr>
            <w:tcW w:w="859" w:type="pct"/>
          </w:tcPr>
          <w:p w14:paraId="2478DAB2" w14:textId="77777777" w:rsidR="00E4570C" w:rsidRPr="00FF3947" w:rsidRDefault="00000000">
            <w:pPr>
              <w:widowControl/>
              <w:jc w:val="center"/>
              <w:textAlignment w:val="bottom"/>
              <w:rPr>
                <w:rFonts w:ascii="Times New Roman" w:eastAsiaTheme="minorEastAsia" w:hAnsi="Times New Roman"/>
                <w:szCs w:val="21"/>
              </w:rPr>
            </w:pPr>
            <w:r w:rsidRPr="00FF3947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儿茶素总量（</w:t>
            </w:r>
            <w:r w:rsidRPr="00FF3947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%</w:t>
            </w:r>
            <w:r w:rsidRPr="00FF3947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）</w:t>
            </w:r>
          </w:p>
        </w:tc>
        <w:tc>
          <w:tcPr>
            <w:tcW w:w="811" w:type="pct"/>
          </w:tcPr>
          <w:p w14:paraId="4B6AB402" w14:textId="77777777" w:rsidR="00E4570C" w:rsidRPr="00FF3947" w:rsidRDefault="00000000">
            <w:pPr>
              <w:widowControl/>
              <w:jc w:val="center"/>
              <w:textAlignment w:val="bottom"/>
              <w:rPr>
                <w:rFonts w:ascii="Times New Roman" w:eastAsiaTheme="minorEastAsia" w:hAnsi="Times New Roman"/>
                <w:szCs w:val="21"/>
              </w:rPr>
            </w:pPr>
            <w:r w:rsidRPr="00FF3947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咖啡碱含量（</w:t>
            </w:r>
            <w:r w:rsidRPr="00FF3947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%</w:t>
            </w:r>
            <w:r w:rsidRPr="00FF3947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）</w:t>
            </w:r>
          </w:p>
        </w:tc>
        <w:tc>
          <w:tcPr>
            <w:tcW w:w="811" w:type="pct"/>
          </w:tcPr>
          <w:p w14:paraId="5788864B" w14:textId="77777777" w:rsidR="00E4570C" w:rsidRPr="00FF3947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FF3947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灰分（</w:t>
            </w:r>
            <w:r w:rsidRPr="00FF3947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%</w:t>
            </w:r>
            <w:r w:rsidRPr="00FF3947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）</w:t>
            </w:r>
          </w:p>
        </w:tc>
        <w:tc>
          <w:tcPr>
            <w:tcW w:w="811" w:type="pct"/>
          </w:tcPr>
          <w:p w14:paraId="2B94D5B9" w14:textId="77777777" w:rsidR="00E4570C" w:rsidRPr="00FF3947" w:rsidRDefault="00000000">
            <w:pPr>
              <w:widowControl/>
              <w:jc w:val="center"/>
              <w:textAlignment w:val="bottom"/>
              <w:rPr>
                <w:rFonts w:ascii="Times New Roman" w:eastAsiaTheme="minorEastAsia" w:hAnsi="Times New Roman"/>
                <w:szCs w:val="21"/>
              </w:rPr>
            </w:pPr>
            <w:r w:rsidRPr="00FF3947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水分（</w:t>
            </w:r>
            <w:r w:rsidRPr="00FF3947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%</w:t>
            </w:r>
            <w:r w:rsidRPr="00FF3947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）</w:t>
            </w:r>
          </w:p>
        </w:tc>
      </w:tr>
      <w:tr w:rsidR="00E4570C" w14:paraId="395C3D1E" w14:textId="77777777">
        <w:trPr>
          <w:trHeight w:val="275"/>
        </w:trPr>
        <w:tc>
          <w:tcPr>
            <w:tcW w:w="847" w:type="pct"/>
          </w:tcPr>
          <w:p w14:paraId="7D9E5CDF" w14:textId="77777777" w:rsidR="00E4570C" w:rsidRPr="00FF3947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FF3947">
              <w:rPr>
                <w:rFonts w:ascii="Times New Roman" w:eastAsiaTheme="minorEastAsia" w:hAnsi="Times New Roman" w:hint="eastAsia"/>
                <w:szCs w:val="21"/>
              </w:rPr>
              <w:t>平均值</w:t>
            </w:r>
          </w:p>
        </w:tc>
        <w:tc>
          <w:tcPr>
            <w:tcW w:w="859" w:type="pct"/>
          </w:tcPr>
          <w:p w14:paraId="3F5DD20B" w14:textId="20C83EF7" w:rsidR="00E4570C" w:rsidRPr="00FF3947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FF3947">
              <w:rPr>
                <w:rFonts w:ascii="Times New Roman" w:eastAsiaTheme="minorEastAsia" w:hAnsi="Times New Roman"/>
                <w:szCs w:val="21"/>
              </w:rPr>
              <w:t>49.07</w:t>
            </w:r>
          </w:p>
        </w:tc>
        <w:tc>
          <w:tcPr>
            <w:tcW w:w="859" w:type="pct"/>
          </w:tcPr>
          <w:p w14:paraId="0D4FD3BB" w14:textId="52FFC06E" w:rsidR="00E4570C" w:rsidRPr="00FF3947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FF3947">
              <w:rPr>
                <w:rFonts w:ascii="Times New Roman" w:eastAsiaTheme="minorEastAsia" w:hAnsi="Times New Roman"/>
                <w:szCs w:val="21"/>
              </w:rPr>
              <w:t>29.69</w:t>
            </w:r>
          </w:p>
        </w:tc>
        <w:tc>
          <w:tcPr>
            <w:tcW w:w="811" w:type="pct"/>
          </w:tcPr>
          <w:p w14:paraId="4A7A5758" w14:textId="65F4469D" w:rsidR="00E4570C" w:rsidRPr="00FF3947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FF3947">
              <w:rPr>
                <w:rFonts w:ascii="Times New Roman" w:eastAsiaTheme="minorEastAsia" w:hAnsi="Times New Roman"/>
                <w:szCs w:val="21"/>
              </w:rPr>
              <w:t>6.85</w:t>
            </w:r>
          </w:p>
        </w:tc>
        <w:tc>
          <w:tcPr>
            <w:tcW w:w="811" w:type="pct"/>
          </w:tcPr>
          <w:p w14:paraId="52759D77" w14:textId="041368E3" w:rsidR="00E4570C" w:rsidRPr="00FF3947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FF3947">
              <w:rPr>
                <w:rFonts w:ascii="Times New Roman" w:eastAsiaTheme="minorEastAsia" w:hAnsi="Times New Roman"/>
                <w:szCs w:val="21"/>
              </w:rPr>
              <w:t>7.4</w:t>
            </w:r>
            <w:r w:rsidR="008367A5" w:rsidRPr="00FF3947">
              <w:rPr>
                <w:rFonts w:ascii="Times New Roman" w:eastAsiaTheme="minorEastAsia" w:hAnsi="Times New Roman" w:hint="eastAsia"/>
                <w:szCs w:val="21"/>
              </w:rPr>
              <w:t>2</w:t>
            </w:r>
          </w:p>
        </w:tc>
        <w:tc>
          <w:tcPr>
            <w:tcW w:w="811" w:type="pct"/>
          </w:tcPr>
          <w:p w14:paraId="0526B78D" w14:textId="49602D3B" w:rsidR="00E4570C" w:rsidRPr="00FF3947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FF3947">
              <w:rPr>
                <w:rFonts w:ascii="Times New Roman" w:eastAsiaTheme="minorEastAsia" w:hAnsi="Times New Roman"/>
                <w:szCs w:val="21"/>
              </w:rPr>
              <w:t>3.74</w:t>
            </w:r>
          </w:p>
        </w:tc>
      </w:tr>
      <w:tr w:rsidR="00E4570C" w14:paraId="46B1D90D" w14:textId="77777777">
        <w:tc>
          <w:tcPr>
            <w:tcW w:w="847" w:type="pct"/>
          </w:tcPr>
          <w:p w14:paraId="22A177C6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最小值</w:t>
            </w:r>
          </w:p>
        </w:tc>
        <w:tc>
          <w:tcPr>
            <w:tcW w:w="859" w:type="pct"/>
          </w:tcPr>
          <w:p w14:paraId="277CB289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30.08</w:t>
            </w:r>
          </w:p>
        </w:tc>
        <w:tc>
          <w:tcPr>
            <w:tcW w:w="859" w:type="pct"/>
          </w:tcPr>
          <w:p w14:paraId="75D9EFCF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6.12</w:t>
            </w:r>
          </w:p>
        </w:tc>
        <w:tc>
          <w:tcPr>
            <w:tcW w:w="811" w:type="pct"/>
          </w:tcPr>
          <w:p w14:paraId="44D1C153" w14:textId="6F0AECE4" w:rsidR="00E4570C" w:rsidRDefault="008367A5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0</w:t>
            </w:r>
            <w:r>
              <w:rPr>
                <w:rFonts w:ascii="Times New Roman" w:eastAsiaTheme="minorEastAsia" w:hAnsi="Times New Roman"/>
                <w:szCs w:val="21"/>
              </w:rPr>
              <w:t>.09</w:t>
            </w:r>
          </w:p>
        </w:tc>
        <w:tc>
          <w:tcPr>
            <w:tcW w:w="811" w:type="pct"/>
          </w:tcPr>
          <w:p w14:paraId="3DF260FF" w14:textId="16EACD4E" w:rsidR="00E4570C" w:rsidRDefault="008367A5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0</w:t>
            </w:r>
            <w:r>
              <w:rPr>
                <w:rFonts w:ascii="Times New Roman" w:eastAsiaTheme="minorEastAsia" w:hAnsi="Times New Roman"/>
                <w:szCs w:val="21"/>
              </w:rPr>
              <w:t>.90</w:t>
            </w:r>
          </w:p>
        </w:tc>
        <w:tc>
          <w:tcPr>
            <w:tcW w:w="811" w:type="pct"/>
          </w:tcPr>
          <w:p w14:paraId="167FFA4B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2.30</w:t>
            </w:r>
          </w:p>
        </w:tc>
      </w:tr>
      <w:tr w:rsidR="00E4570C" w14:paraId="5F5B88BD" w14:textId="77777777">
        <w:tc>
          <w:tcPr>
            <w:tcW w:w="847" w:type="pct"/>
          </w:tcPr>
          <w:p w14:paraId="2FE09E57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最大值</w:t>
            </w:r>
          </w:p>
        </w:tc>
        <w:tc>
          <w:tcPr>
            <w:tcW w:w="859" w:type="pct"/>
          </w:tcPr>
          <w:p w14:paraId="5727488B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69.43</w:t>
            </w:r>
          </w:p>
        </w:tc>
        <w:tc>
          <w:tcPr>
            <w:tcW w:w="859" w:type="pct"/>
          </w:tcPr>
          <w:p w14:paraId="1916EDA4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53.42</w:t>
            </w:r>
          </w:p>
        </w:tc>
        <w:tc>
          <w:tcPr>
            <w:tcW w:w="811" w:type="pct"/>
          </w:tcPr>
          <w:p w14:paraId="1FA76AB2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24.06</w:t>
            </w:r>
          </w:p>
        </w:tc>
        <w:tc>
          <w:tcPr>
            <w:tcW w:w="811" w:type="pct"/>
          </w:tcPr>
          <w:p w14:paraId="74B4F864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11.53</w:t>
            </w:r>
          </w:p>
        </w:tc>
        <w:tc>
          <w:tcPr>
            <w:tcW w:w="811" w:type="pct"/>
          </w:tcPr>
          <w:p w14:paraId="5DAA0A57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6.17</w:t>
            </w:r>
          </w:p>
        </w:tc>
      </w:tr>
      <w:tr w:rsidR="00E4570C" w14:paraId="4C520673" w14:textId="77777777">
        <w:tc>
          <w:tcPr>
            <w:tcW w:w="847" w:type="pct"/>
          </w:tcPr>
          <w:p w14:paraId="5599B265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范围</w:t>
            </w:r>
          </w:p>
        </w:tc>
        <w:tc>
          <w:tcPr>
            <w:tcW w:w="859" w:type="pct"/>
          </w:tcPr>
          <w:p w14:paraId="045DB093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39.35</w:t>
            </w:r>
          </w:p>
        </w:tc>
        <w:tc>
          <w:tcPr>
            <w:tcW w:w="859" w:type="pct"/>
          </w:tcPr>
          <w:p w14:paraId="194BAFC0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47.30</w:t>
            </w:r>
          </w:p>
        </w:tc>
        <w:tc>
          <w:tcPr>
            <w:tcW w:w="811" w:type="pct"/>
          </w:tcPr>
          <w:p w14:paraId="07A22302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23.97</w:t>
            </w:r>
          </w:p>
        </w:tc>
        <w:tc>
          <w:tcPr>
            <w:tcW w:w="811" w:type="pct"/>
          </w:tcPr>
          <w:p w14:paraId="7225B76D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10.63</w:t>
            </w:r>
          </w:p>
        </w:tc>
        <w:tc>
          <w:tcPr>
            <w:tcW w:w="811" w:type="pct"/>
          </w:tcPr>
          <w:p w14:paraId="2BFAB72D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3.88</w:t>
            </w:r>
          </w:p>
        </w:tc>
      </w:tr>
      <w:tr w:rsidR="00E4570C" w14:paraId="54B2E9D0" w14:textId="77777777">
        <w:tc>
          <w:tcPr>
            <w:tcW w:w="847" w:type="pct"/>
          </w:tcPr>
          <w:p w14:paraId="01CE4019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szCs w:val="21"/>
              </w:rPr>
              <w:t>个案数</w:t>
            </w:r>
            <w:proofErr w:type="gramEnd"/>
          </w:p>
        </w:tc>
        <w:tc>
          <w:tcPr>
            <w:tcW w:w="859" w:type="pct"/>
          </w:tcPr>
          <w:p w14:paraId="607DBC26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22</w:t>
            </w:r>
          </w:p>
        </w:tc>
        <w:tc>
          <w:tcPr>
            <w:tcW w:w="859" w:type="pct"/>
          </w:tcPr>
          <w:p w14:paraId="52A7D912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22</w:t>
            </w:r>
          </w:p>
        </w:tc>
        <w:tc>
          <w:tcPr>
            <w:tcW w:w="811" w:type="pct"/>
          </w:tcPr>
          <w:p w14:paraId="0C3F5B2A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22</w:t>
            </w:r>
          </w:p>
        </w:tc>
        <w:tc>
          <w:tcPr>
            <w:tcW w:w="811" w:type="pct"/>
          </w:tcPr>
          <w:p w14:paraId="759902A4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4</w:t>
            </w:r>
          </w:p>
        </w:tc>
        <w:tc>
          <w:tcPr>
            <w:tcW w:w="811" w:type="pct"/>
          </w:tcPr>
          <w:p w14:paraId="0A074A1D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22</w:t>
            </w:r>
          </w:p>
        </w:tc>
      </w:tr>
      <w:tr w:rsidR="00E4570C" w14:paraId="1F0FF488" w14:textId="77777777">
        <w:tc>
          <w:tcPr>
            <w:tcW w:w="847" w:type="pct"/>
          </w:tcPr>
          <w:p w14:paraId="6EC0C200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合格个案</w:t>
            </w:r>
          </w:p>
        </w:tc>
        <w:tc>
          <w:tcPr>
            <w:tcW w:w="859" w:type="pct"/>
          </w:tcPr>
          <w:p w14:paraId="73DF7A59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22</w:t>
            </w:r>
          </w:p>
        </w:tc>
        <w:tc>
          <w:tcPr>
            <w:tcW w:w="859" w:type="pct"/>
          </w:tcPr>
          <w:p w14:paraId="5F65AE61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22</w:t>
            </w:r>
          </w:p>
        </w:tc>
        <w:tc>
          <w:tcPr>
            <w:tcW w:w="811" w:type="pct"/>
          </w:tcPr>
          <w:p w14:paraId="5ADF976D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20</w:t>
            </w:r>
          </w:p>
        </w:tc>
        <w:tc>
          <w:tcPr>
            <w:tcW w:w="811" w:type="pct"/>
          </w:tcPr>
          <w:p w14:paraId="4EC128C8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4</w:t>
            </w:r>
          </w:p>
        </w:tc>
        <w:tc>
          <w:tcPr>
            <w:tcW w:w="811" w:type="pct"/>
          </w:tcPr>
          <w:p w14:paraId="634667FB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21</w:t>
            </w:r>
          </w:p>
        </w:tc>
      </w:tr>
      <w:tr w:rsidR="00E4570C" w14:paraId="321D69E8" w14:textId="77777777">
        <w:tc>
          <w:tcPr>
            <w:tcW w:w="847" w:type="pct"/>
          </w:tcPr>
          <w:p w14:paraId="4224D1E9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合格率</w:t>
            </w:r>
          </w:p>
        </w:tc>
        <w:tc>
          <w:tcPr>
            <w:tcW w:w="859" w:type="pct"/>
          </w:tcPr>
          <w:p w14:paraId="19959C95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100%</w:t>
            </w:r>
          </w:p>
        </w:tc>
        <w:tc>
          <w:tcPr>
            <w:tcW w:w="859" w:type="pct"/>
          </w:tcPr>
          <w:p w14:paraId="1BA4B7CE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100%</w:t>
            </w:r>
          </w:p>
        </w:tc>
        <w:tc>
          <w:tcPr>
            <w:tcW w:w="811" w:type="pct"/>
          </w:tcPr>
          <w:p w14:paraId="192C0BBE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90.91%</w:t>
            </w:r>
          </w:p>
        </w:tc>
        <w:tc>
          <w:tcPr>
            <w:tcW w:w="811" w:type="pct"/>
          </w:tcPr>
          <w:p w14:paraId="49CB2A73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100%</w:t>
            </w:r>
          </w:p>
        </w:tc>
        <w:tc>
          <w:tcPr>
            <w:tcW w:w="811" w:type="pct"/>
          </w:tcPr>
          <w:p w14:paraId="122860FC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95.45%</w:t>
            </w:r>
          </w:p>
        </w:tc>
      </w:tr>
    </w:tbl>
    <w:p w14:paraId="2D74B243" w14:textId="77777777" w:rsidR="00E4570C" w:rsidRDefault="00000000">
      <w:pPr>
        <w:jc w:val="center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表</w:t>
      </w:r>
      <w:r>
        <w:rPr>
          <w:rFonts w:ascii="Times New Roman" w:eastAsiaTheme="minorEastAsia" w:hAnsi="Times New Roman" w:hint="eastAsia"/>
          <w:sz w:val="24"/>
        </w:rPr>
        <w:t>4</w:t>
      </w:r>
      <w:r>
        <w:rPr>
          <w:rFonts w:ascii="Times New Roman" w:eastAsiaTheme="minorEastAsia" w:hAnsi="Times New Roman"/>
          <w:sz w:val="24"/>
        </w:rPr>
        <w:t xml:space="preserve"> TP-70</w:t>
      </w:r>
      <w:r>
        <w:rPr>
          <w:rFonts w:ascii="Times New Roman" w:eastAsiaTheme="minorEastAsia" w:hAnsi="Times New Roman" w:hint="eastAsia"/>
          <w:sz w:val="24"/>
        </w:rPr>
        <w:t>理化指标数据</w:t>
      </w:r>
    </w:p>
    <w:tbl>
      <w:tblPr>
        <w:tblStyle w:val="af"/>
        <w:tblW w:w="4998" w:type="pct"/>
        <w:tblLook w:val="04A0" w:firstRow="1" w:lastRow="0" w:firstColumn="1" w:lastColumn="0" w:noHBand="0" w:noVBand="1"/>
      </w:tblPr>
      <w:tblGrid>
        <w:gridCol w:w="1092"/>
        <w:gridCol w:w="1716"/>
        <w:gridCol w:w="1716"/>
        <w:gridCol w:w="1716"/>
        <w:gridCol w:w="1141"/>
        <w:gridCol w:w="1141"/>
      </w:tblGrid>
      <w:tr w:rsidR="00E4570C" w14:paraId="2DC01474" w14:textId="77777777">
        <w:trPr>
          <w:trHeight w:val="285"/>
        </w:trPr>
        <w:tc>
          <w:tcPr>
            <w:tcW w:w="833" w:type="pct"/>
            <w:noWrap/>
          </w:tcPr>
          <w:p w14:paraId="70E78B07" w14:textId="77777777" w:rsidR="00E4570C" w:rsidRDefault="00E4570C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833" w:type="pct"/>
            <w:noWrap/>
          </w:tcPr>
          <w:p w14:paraId="7DCD91D0" w14:textId="77777777" w:rsidR="00E4570C" w:rsidRDefault="00000000">
            <w:pPr>
              <w:widowControl/>
              <w:jc w:val="center"/>
              <w:textAlignment w:val="bottom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茶多酚总量（</w:t>
            </w: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%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）</w:t>
            </w:r>
          </w:p>
        </w:tc>
        <w:tc>
          <w:tcPr>
            <w:tcW w:w="833" w:type="pct"/>
            <w:noWrap/>
          </w:tcPr>
          <w:p w14:paraId="525FC595" w14:textId="77777777" w:rsidR="00E4570C" w:rsidRDefault="00000000">
            <w:pPr>
              <w:widowControl/>
              <w:jc w:val="center"/>
              <w:textAlignment w:val="bottom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儿茶素总量（</w:t>
            </w: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%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）</w:t>
            </w:r>
          </w:p>
        </w:tc>
        <w:tc>
          <w:tcPr>
            <w:tcW w:w="833" w:type="pct"/>
            <w:noWrap/>
          </w:tcPr>
          <w:p w14:paraId="3F2BCA0F" w14:textId="77777777" w:rsidR="00E4570C" w:rsidRDefault="00000000">
            <w:pPr>
              <w:widowControl/>
              <w:jc w:val="center"/>
              <w:textAlignment w:val="bottom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咖啡碱含量（</w:t>
            </w: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%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）</w:t>
            </w:r>
          </w:p>
        </w:tc>
        <w:tc>
          <w:tcPr>
            <w:tcW w:w="833" w:type="pct"/>
            <w:noWrap/>
          </w:tcPr>
          <w:p w14:paraId="0DF36EA1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灰分（</w:t>
            </w: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%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）</w:t>
            </w:r>
          </w:p>
        </w:tc>
        <w:tc>
          <w:tcPr>
            <w:tcW w:w="833" w:type="pct"/>
            <w:noWrap/>
          </w:tcPr>
          <w:p w14:paraId="4EE7CD69" w14:textId="77777777" w:rsidR="00E4570C" w:rsidRDefault="00000000">
            <w:pPr>
              <w:widowControl/>
              <w:jc w:val="center"/>
              <w:textAlignment w:val="bottom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水分（</w:t>
            </w: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%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）</w:t>
            </w:r>
          </w:p>
        </w:tc>
      </w:tr>
      <w:tr w:rsidR="00E4570C" w14:paraId="20C97B77" w14:textId="77777777">
        <w:trPr>
          <w:trHeight w:val="285"/>
        </w:trPr>
        <w:tc>
          <w:tcPr>
            <w:tcW w:w="833" w:type="pct"/>
            <w:noWrap/>
          </w:tcPr>
          <w:p w14:paraId="3CDD81C7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平均值</w:t>
            </w:r>
          </w:p>
        </w:tc>
        <w:tc>
          <w:tcPr>
            <w:tcW w:w="833" w:type="pct"/>
            <w:noWrap/>
          </w:tcPr>
          <w:p w14:paraId="18C88EC1" w14:textId="0271EBF0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73.97</w:t>
            </w:r>
          </w:p>
        </w:tc>
        <w:tc>
          <w:tcPr>
            <w:tcW w:w="833" w:type="pct"/>
            <w:noWrap/>
          </w:tcPr>
          <w:p w14:paraId="61194553" w14:textId="6F6FE7CD" w:rsidR="00E4570C" w:rsidRPr="00FF3947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56.1</w:t>
            </w:r>
            <w:r w:rsidR="004D438D" w:rsidRPr="004D438D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8</w:t>
            </w:r>
          </w:p>
        </w:tc>
        <w:tc>
          <w:tcPr>
            <w:tcW w:w="833" w:type="pct"/>
            <w:noWrap/>
          </w:tcPr>
          <w:p w14:paraId="2185585F" w14:textId="52BF5937" w:rsidR="00E4570C" w:rsidRPr="00FF3947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7.7</w:t>
            </w:r>
            <w:r w:rsidR="004D438D" w:rsidRPr="004D438D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9</w:t>
            </w:r>
          </w:p>
        </w:tc>
        <w:tc>
          <w:tcPr>
            <w:tcW w:w="833" w:type="pct"/>
            <w:noWrap/>
          </w:tcPr>
          <w:p w14:paraId="139BF87A" w14:textId="73A255AA" w:rsidR="00E4570C" w:rsidRPr="00FF3947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0.1</w:t>
            </w:r>
            <w:r w:rsidR="004D438D" w:rsidRPr="004D438D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833" w:type="pct"/>
            <w:noWrap/>
          </w:tcPr>
          <w:p w14:paraId="61980A21" w14:textId="4E05A829" w:rsidR="00E4570C" w:rsidRPr="00FF3947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3.6</w:t>
            </w:r>
            <w:r w:rsidR="004D438D" w:rsidRPr="004D438D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2</w:t>
            </w:r>
          </w:p>
        </w:tc>
      </w:tr>
      <w:tr w:rsidR="00E4570C" w14:paraId="7520632B" w14:textId="77777777">
        <w:trPr>
          <w:trHeight w:val="285"/>
        </w:trPr>
        <w:tc>
          <w:tcPr>
            <w:tcW w:w="833" w:type="pct"/>
            <w:noWrap/>
          </w:tcPr>
          <w:p w14:paraId="6C925826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最小值</w:t>
            </w:r>
          </w:p>
        </w:tc>
        <w:tc>
          <w:tcPr>
            <w:tcW w:w="833" w:type="pct"/>
            <w:noWrap/>
          </w:tcPr>
          <w:p w14:paraId="454C946D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70.28</w:t>
            </w:r>
          </w:p>
        </w:tc>
        <w:tc>
          <w:tcPr>
            <w:tcW w:w="833" w:type="pct"/>
            <w:noWrap/>
          </w:tcPr>
          <w:p w14:paraId="25E705B9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33.69</w:t>
            </w:r>
          </w:p>
        </w:tc>
        <w:tc>
          <w:tcPr>
            <w:tcW w:w="833" w:type="pct"/>
            <w:noWrap/>
          </w:tcPr>
          <w:p w14:paraId="2AD341CE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0.39</w:t>
            </w:r>
          </w:p>
        </w:tc>
        <w:tc>
          <w:tcPr>
            <w:tcW w:w="833" w:type="pct"/>
            <w:noWrap/>
          </w:tcPr>
          <w:p w14:paraId="05904D23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0.08</w:t>
            </w:r>
          </w:p>
        </w:tc>
        <w:tc>
          <w:tcPr>
            <w:tcW w:w="833" w:type="pct"/>
            <w:noWrap/>
          </w:tcPr>
          <w:p w14:paraId="0BEBEE44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2.24</w:t>
            </w:r>
          </w:p>
        </w:tc>
      </w:tr>
      <w:tr w:rsidR="00E4570C" w14:paraId="09BF0512" w14:textId="77777777">
        <w:trPr>
          <w:trHeight w:val="285"/>
        </w:trPr>
        <w:tc>
          <w:tcPr>
            <w:tcW w:w="833" w:type="pct"/>
            <w:noWrap/>
          </w:tcPr>
          <w:p w14:paraId="768958DC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最大值</w:t>
            </w:r>
          </w:p>
        </w:tc>
        <w:tc>
          <w:tcPr>
            <w:tcW w:w="833" w:type="pct"/>
            <w:noWrap/>
          </w:tcPr>
          <w:p w14:paraId="0E22F406" w14:textId="75BA62FF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79.2</w:t>
            </w:r>
            <w:r w:rsidR="004D438D" w:rsidRPr="004D438D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0</w:t>
            </w:r>
          </w:p>
        </w:tc>
        <w:tc>
          <w:tcPr>
            <w:tcW w:w="833" w:type="pct"/>
            <w:noWrap/>
          </w:tcPr>
          <w:p w14:paraId="6DF846A5" w14:textId="73B31C94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66.3</w:t>
            </w:r>
            <w:r w:rsidR="004D438D" w:rsidRPr="004D438D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0</w:t>
            </w:r>
          </w:p>
        </w:tc>
        <w:tc>
          <w:tcPr>
            <w:tcW w:w="833" w:type="pct"/>
            <w:noWrap/>
          </w:tcPr>
          <w:p w14:paraId="68BB182F" w14:textId="1676250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17.1</w:t>
            </w:r>
            <w:r w:rsidR="004D438D" w:rsidRPr="004D438D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0</w:t>
            </w:r>
          </w:p>
        </w:tc>
        <w:tc>
          <w:tcPr>
            <w:tcW w:w="833" w:type="pct"/>
            <w:noWrap/>
          </w:tcPr>
          <w:p w14:paraId="6C9BA0CF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0.14</w:t>
            </w:r>
          </w:p>
        </w:tc>
        <w:tc>
          <w:tcPr>
            <w:tcW w:w="833" w:type="pct"/>
            <w:noWrap/>
          </w:tcPr>
          <w:p w14:paraId="297507F5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5.82</w:t>
            </w:r>
          </w:p>
        </w:tc>
      </w:tr>
      <w:tr w:rsidR="00E4570C" w14:paraId="691A5652" w14:textId="77777777">
        <w:trPr>
          <w:trHeight w:val="285"/>
        </w:trPr>
        <w:tc>
          <w:tcPr>
            <w:tcW w:w="833" w:type="pct"/>
            <w:noWrap/>
          </w:tcPr>
          <w:p w14:paraId="00322676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范围</w:t>
            </w:r>
          </w:p>
        </w:tc>
        <w:tc>
          <w:tcPr>
            <w:tcW w:w="833" w:type="pct"/>
            <w:noWrap/>
          </w:tcPr>
          <w:p w14:paraId="1EFA22B5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8.92</w:t>
            </w:r>
          </w:p>
        </w:tc>
        <w:tc>
          <w:tcPr>
            <w:tcW w:w="833" w:type="pct"/>
            <w:noWrap/>
          </w:tcPr>
          <w:p w14:paraId="7D12492D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32.61</w:t>
            </w:r>
          </w:p>
        </w:tc>
        <w:tc>
          <w:tcPr>
            <w:tcW w:w="833" w:type="pct"/>
            <w:noWrap/>
          </w:tcPr>
          <w:p w14:paraId="418E4041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16.71</w:t>
            </w:r>
          </w:p>
        </w:tc>
        <w:tc>
          <w:tcPr>
            <w:tcW w:w="833" w:type="pct"/>
            <w:noWrap/>
          </w:tcPr>
          <w:p w14:paraId="0943CFAA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0.06</w:t>
            </w:r>
          </w:p>
        </w:tc>
        <w:tc>
          <w:tcPr>
            <w:tcW w:w="833" w:type="pct"/>
            <w:noWrap/>
          </w:tcPr>
          <w:p w14:paraId="09825C44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3.59</w:t>
            </w:r>
          </w:p>
        </w:tc>
      </w:tr>
      <w:tr w:rsidR="00E4570C" w14:paraId="17DC56E0" w14:textId="77777777">
        <w:trPr>
          <w:trHeight w:val="285"/>
        </w:trPr>
        <w:tc>
          <w:tcPr>
            <w:tcW w:w="833" w:type="pct"/>
            <w:noWrap/>
          </w:tcPr>
          <w:p w14:paraId="326E7BC7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 w:rsidRPr="004D438D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个案数</w:t>
            </w:r>
            <w:proofErr w:type="gramEnd"/>
          </w:p>
        </w:tc>
        <w:tc>
          <w:tcPr>
            <w:tcW w:w="833" w:type="pct"/>
            <w:noWrap/>
          </w:tcPr>
          <w:p w14:paraId="538F6206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12</w:t>
            </w:r>
          </w:p>
        </w:tc>
        <w:tc>
          <w:tcPr>
            <w:tcW w:w="833" w:type="pct"/>
            <w:noWrap/>
          </w:tcPr>
          <w:p w14:paraId="3EB06D20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12</w:t>
            </w:r>
          </w:p>
        </w:tc>
        <w:tc>
          <w:tcPr>
            <w:tcW w:w="833" w:type="pct"/>
            <w:noWrap/>
          </w:tcPr>
          <w:p w14:paraId="11574283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12</w:t>
            </w:r>
          </w:p>
        </w:tc>
        <w:tc>
          <w:tcPr>
            <w:tcW w:w="833" w:type="pct"/>
            <w:noWrap/>
          </w:tcPr>
          <w:p w14:paraId="5B9F65EB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3</w:t>
            </w:r>
          </w:p>
        </w:tc>
        <w:tc>
          <w:tcPr>
            <w:tcW w:w="833" w:type="pct"/>
            <w:noWrap/>
          </w:tcPr>
          <w:p w14:paraId="0D15C968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12</w:t>
            </w:r>
          </w:p>
        </w:tc>
      </w:tr>
      <w:tr w:rsidR="00E4570C" w14:paraId="27C65F12" w14:textId="77777777">
        <w:trPr>
          <w:trHeight w:val="285"/>
        </w:trPr>
        <w:tc>
          <w:tcPr>
            <w:tcW w:w="833" w:type="pct"/>
            <w:noWrap/>
          </w:tcPr>
          <w:p w14:paraId="7AFD9CC6" w14:textId="77777777" w:rsidR="00E4570C" w:rsidRPr="004D438D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 w:rsidRPr="004D438D">
              <w:rPr>
                <w:rFonts w:ascii="Times New Roman" w:eastAsiaTheme="minorEastAsia" w:hAnsi="Times New Roman" w:hint="eastAsia"/>
                <w:szCs w:val="21"/>
              </w:rPr>
              <w:t>合格个案</w:t>
            </w:r>
          </w:p>
        </w:tc>
        <w:tc>
          <w:tcPr>
            <w:tcW w:w="833" w:type="pct"/>
            <w:noWrap/>
          </w:tcPr>
          <w:p w14:paraId="6E744A1E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12</w:t>
            </w:r>
          </w:p>
        </w:tc>
        <w:tc>
          <w:tcPr>
            <w:tcW w:w="833" w:type="pct"/>
            <w:noWrap/>
          </w:tcPr>
          <w:p w14:paraId="7E4C5A34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11</w:t>
            </w:r>
          </w:p>
        </w:tc>
        <w:tc>
          <w:tcPr>
            <w:tcW w:w="833" w:type="pct"/>
            <w:noWrap/>
          </w:tcPr>
          <w:p w14:paraId="522D8017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11</w:t>
            </w:r>
          </w:p>
        </w:tc>
        <w:tc>
          <w:tcPr>
            <w:tcW w:w="833" w:type="pct"/>
            <w:noWrap/>
          </w:tcPr>
          <w:p w14:paraId="3697CE4B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3</w:t>
            </w:r>
          </w:p>
        </w:tc>
        <w:tc>
          <w:tcPr>
            <w:tcW w:w="833" w:type="pct"/>
            <w:noWrap/>
          </w:tcPr>
          <w:p w14:paraId="78D1E836" w14:textId="77777777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12</w:t>
            </w:r>
          </w:p>
        </w:tc>
      </w:tr>
      <w:tr w:rsidR="00E4570C" w14:paraId="657BFD7C" w14:textId="77777777">
        <w:trPr>
          <w:trHeight w:val="285"/>
        </w:trPr>
        <w:tc>
          <w:tcPr>
            <w:tcW w:w="833" w:type="pct"/>
            <w:noWrap/>
          </w:tcPr>
          <w:p w14:paraId="003A0E55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合格率</w:t>
            </w:r>
          </w:p>
        </w:tc>
        <w:tc>
          <w:tcPr>
            <w:tcW w:w="833" w:type="pct"/>
            <w:noWrap/>
          </w:tcPr>
          <w:p w14:paraId="4E448FB8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100%</w:t>
            </w:r>
          </w:p>
        </w:tc>
        <w:tc>
          <w:tcPr>
            <w:tcW w:w="833" w:type="pct"/>
            <w:noWrap/>
          </w:tcPr>
          <w:p w14:paraId="374A7291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91.67%</w:t>
            </w:r>
          </w:p>
        </w:tc>
        <w:tc>
          <w:tcPr>
            <w:tcW w:w="833" w:type="pct"/>
            <w:noWrap/>
          </w:tcPr>
          <w:p w14:paraId="3E19FC0B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91.67%</w:t>
            </w:r>
          </w:p>
        </w:tc>
        <w:tc>
          <w:tcPr>
            <w:tcW w:w="833" w:type="pct"/>
            <w:noWrap/>
          </w:tcPr>
          <w:p w14:paraId="05E703E6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100%</w:t>
            </w:r>
          </w:p>
        </w:tc>
        <w:tc>
          <w:tcPr>
            <w:tcW w:w="833" w:type="pct"/>
            <w:noWrap/>
          </w:tcPr>
          <w:p w14:paraId="0A8D3020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100%</w:t>
            </w:r>
          </w:p>
        </w:tc>
      </w:tr>
    </w:tbl>
    <w:p w14:paraId="60B87149" w14:textId="77777777" w:rsidR="00E4570C" w:rsidRDefault="00000000">
      <w:pPr>
        <w:spacing w:line="360" w:lineRule="auto"/>
        <w:jc w:val="center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表</w:t>
      </w:r>
      <w:r>
        <w:rPr>
          <w:rFonts w:ascii="Times New Roman" w:eastAsiaTheme="minorEastAsia" w:hAnsi="Times New Roman" w:hint="eastAsia"/>
          <w:sz w:val="24"/>
        </w:rPr>
        <w:t>5</w:t>
      </w:r>
      <w:r>
        <w:rPr>
          <w:rFonts w:ascii="Times New Roman" w:eastAsiaTheme="minorEastAsia" w:hAnsi="Times New Roman"/>
          <w:sz w:val="24"/>
        </w:rPr>
        <w:t xml:space="preserve"> TP-80</w:t>
      </w:r>
      <w:r>
        <w:rPr>
          <w:rFonts w:ascii="Times New Roman" w:eastAsiaTheme="minorEastAsia" w:hAnsi="Times New Roman" w:hint="eastAsia"/>
          <w:sz w:val="24"/>
        </w:rPr>
        <w:t>理化指标数据</w:t>
      </w:r>
    </w:p>
    <w:tbl>
      <w:tblPr>
        <w:tblStyle w:val="af"/>
        <w:tblW w:w="4997" w:type="pct"/>
        <w:tblLook w:val="04A0" w:firstRow="1" w:lastRow="0" w:firstColumn="1" w:lastColumn="0" w:noHBand="0" w:noVBand="1"/>
      </w:tblPr>
      <w:tblGrid>
        <w:gridCol w:w="1092"/>
        <w:gridCol w:w="1716"/>
        <w:gridCol w:w="1716"/>
        <w:gridCol w:w="1716"/>
        <w:gridCol w:w="1141"/>
        <w:gridCol w:w="1141"/>
      </w:tblGrid>
      <w:tr w:rsidR="00E4570C" w14:paraId="5E706CF5" w14:textId="77777777">
        <w:trPr>
          <w:trHeight w:val="285"/>
        </w:trPr>
        <w:tc>
          <w:tcPr>
            <w:tcW w:w="780" w:type="pct"/>
            <w:noWrap/>
          </w:tcPr>
          <w:p w14:paraId="1EDEE54C" w14:textId="77777777" w:rsidR="00E4570C" w:rsidRDefault="00E4570C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780" w:type="pct"/>
            <w:noWrap/>
          </w:tcPr>
          <w:p w14:paraId="680F5E09" w14:textId="77777777" w:rsidR="00E4570C" w:rsidRDefault="00000000">
            <w:pPr>
              <w:widowControl/>
              <w:jc w:val="center"/>
              <w:textAlignment w:val="bottom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茶多酚总量（</w:t>
            </w: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%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）</w:t>
            </w:r>
          </w:p>
        </w:tc>
        <w:tc>
          <w:tcPr>
            <w:tcW w:w="780" w:type="pct"/>
            <w:noWrap/>
          </w:tcPr>
          <w:p w14:paraId="30977FC6" w14:textId="77777777" w:rsidR="00E4570C" w:rsidRDefault="00000000">
            <w:pPr>
              <w:widowControl/>
              <w:jc w:val="center"/>
              <w:textAlignment w:val="bottom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儿茶素总量（</w:t>
            </w: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%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）</w:t>
            </w:r>
          </w:p>
        </w:tc>
        <w:tc>
          <w:tcPr>
            <w:tcW w:w="780" w:type="pct"/>
            <w:noWrap/>
          </w:tcPr>
          <w:p w14:paraId="3F0D961D" w14:textId="77777777" w:rsidR="00E4570C" w:rsidRDefault="00000000">
            <w:pPr>
              <w:widowControl/>
              <w:jc w:val="center"/>
              <w:textAlignment w:val="bottom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咖啡碱含量（</w:t>
            </w: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%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）</w:t>
            </w:r>
          </w:p>
        </w:tc>
        <w:tc>
          <w:tcPr>
            <w:tcW w:w="1095" w:type="pct"/>
            <w:noWrap/>
          </w:tcPr>
          <w:p w14:paraId="07449F72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灰分（</w:t>
            </w: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%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）</w:t>
            </w:r>
          </w:p>
        </w:tc>
        <w:tc>
          <w:tcPr>
            <w:tcW w:w="780" w:type="pct"/>
            <w:noWrap/>
          </w:tcPr>
          <w:p w14:paraId="6EA581C6" w14:textId="77777777" w:rsidR="00E4570C" w:rsidRDefault="00000000">
            <w:pPr>
              <w:widowControl/>
              <w:jc w:val="center"/>
              <w:textAlignment w:val="bottom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水分（</w:t>
            </w: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%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）</w:t>
            </w:r>
          </w:p>
        </w:tc>
      </w:tr>
      <w:tr w:rsidR="00E4570C" w14:paraId="128BB06A" w14:textId="77777777">
        <w:trPr>
          <w:trHeight w:val="285"/>
        </w:trPr>
        <w:tc>
          <w:tcPr>
            <w:tcW w:w="780" w:type="pct"/>
            <w:noWrap/>
          </w:tcPr>
          <w:p w14:paraId="1A10DFBA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平均值</w:t>
            </w:r>
          </w:p>
        </w:tc>
        <w:tc>
          <w:tcPr>
            <w:tcW w:w="780" w:type="pct"/>
            <w:noWrap/>
          </w:tcPr>
          <w:p w14:paraId="1463AB8E" w14:textId="4DCB5471" w:rsidR="00E4570C" w:rsidRPr="00FF3947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86.0</w:t>
            </w:r>
            <w:r w:rsidR="004D438D" w:rsidRPr="004D438D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5</w:t>
            </w:r>
          </w:p>
        </w:tc>
        <w:tc>
          <w:tcPr>
            <w:tcW w:w="780" w:type="pct"/>
            <w:noWrap/>
          </w:tcPr>
          <w:p w14:paraId="4EB916EA" w14:textId="4D533020" w:rsidR="00E4570C" w:rsidRPr="00FF3947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68.8</w:t>
            </w:r>
            <w:r w:rsidR="004D438D" w:rsidRPr="004D438D"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9</w:t>
            </w:r>
          </w:p>
        </w:tc>
        <w:tc>
          <w:tcPr>
            <w:tcW w:w="780" w:type="pct"/>
            <w:noWrap/>
          </w:tcPr>
          <w:p w14:paraId="2DB0EEEB" w14:textId="6A740D75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0.79</w:t>
            </w:r>
          </w:p>
        </w:tc>
        <w:tc>
          <w:tcPr>
            <w:tcW w:w="1095" w:type="pct"/>
            <w:noWrap/>
          </w:tcPr>
          <w:p w14:paraId="77CA7407" w14:textId="1049D7AA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0.43</w:t>
            </w:r>
          </w:p>
        </w:tc>
        <w:tc>
          <w:tcPr>
            <w:tcW w:w="780" w:type="pct"/>
            <w:noWrap/>
          </w:tcPr>
          <w:p w14:paraId="2CD21566" w14:textId="1C7BBD4A" w:rsidR="00E4570C" w:rsidRPr="004D438D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 w:rsidRPr="004D438D"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3.31</w:t>
            </w:r>
          </w:p>
        </w:tc>
      </w:tr>
      <w:tr w:rsidR="00E4570C" w14:paraId="646F4A42" w14:textId="77777777">
        <w:trPr>
          <w:trHeight w:val="285"/>
        </w:trPr>
        <w:tc>
          <w:tcPr>
            <w:tcW w:w="780" w:type="pct"/>
            <w:noWrap/>
          </w:tcPr>
          <w:p w14:paraId="13FB9B7E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最小值</w:t>
            </w:r>
          </w:p>
        </w:tc>
        <w:tc>
          <w:tcPr>
            <w:tcW w:w="780" w:type="pct"/>
            <w:noWrap/>
          </w:tcPr>
          <w:p w14:paraId="3688E11A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80.15</w:t>
            </w:r>
          </w:p>
        </w:tc>
        <w:tc>
          <w:tcPr>
            <w:tcW w:w="780" w:type="pct"/>
            <w:noWrap/>
          </w:tcPr>
          <w:p w14:paraId="3C30825B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60.42</w:t>
            </w:r>
          </w:p>
        </w:tc>
        <w:tc>
          <w:tcPr>
            <w:tcW w:w="780" w:type="pct"/>
            <w:noWrap/>
          </w:tcPr>
          <w:p w14:paraId="2C05A3B8" w14:textId="6663FA98" w:rsidR="00E4570C" w:rsidRDefault="00FF3947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0.00</w:t>
            </w:r>
          </w:p>
        </w:tc>
        <w:tc>
          <w:tcPr>
            <w:tcW w:w="1095" w:type="pct"/>
            <w:noWrap/>
          </w:tcPr>
          <w:p w14:paraId="6F668855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0.02</w:t>
            </w:r>
          </w:p>
        </w:tc>
        <w:tc>
          <w:tcPr>
            <w:tcW w:w="780" w:type="pct"/>
            <w:noWrap/>
          </w:tcPr>
          <w:p w14:paraId="4B891173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1.87</w:t>
            </w:r>
          </w:p>
        </w:tc>
      </w:tr>
      <w:tr w:rsidR="00E4570C" w14:paraId="71DE4C85" w14:textId="77777777">
        <w:trPr>
          <w:trHeight w:val="285"/>
        </w:trPr>
        <w:tc>
          <w:tcPr>
            <w:tcW w:w="780" w:type="pct"/>
            <w:noWrap/>
          </w:tcPr>
          <w:p w14:paraId="1C80ABE2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最大值</w:t>
            </w:r>
          </w:p>
        </w:tc>
        <w:tc>
          <w:tcPr>
            <w:tcW w:w="780" w:type="pct"/>
            <w:noWrap/>
          </w:tcPr>
          <w:p w14:paraId="0F4EB1C8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94.19</w:t>
            </w:r>
          </w:p>
        </w:tc>
        <w:tc>
          <w:tcPr>
            <w:tcW w:w="780" w:type="pct"/>
            <w:noWrap/>
          </w:tcPr>
          <w:p w14:paraId="5906ED5E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83.09</w:t>
            </w:r>
          </w:p>
        </w:tc>
        <w:tc>
          <w:tcPr>
            <w:tcW w:w="780" w:type="pct"/>
            <w:noWrap/>
          </w:tcPr>
          <w:p w14:paraId="79CD1353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3.82</w:t>
            </w:r>
          </w:p>
        </w:tc>
        <w:tc>
          <w:tcPr>
            <w:tcW w:w="1095" w:type="pct"/>
            <w:noWrap/>
          </w:tcPr>
          <w:p w14:paraId="4B6B51BC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1.03</w:t>
            </w:r>
          </w:p>
        </w:tc>
        <w:tc>
          <w:tcPr>
            <w:tcW w:w="780" w:type="pct"/>
            <w:noWrap/>
          </w:tcPr>
          <w:p w14:paraId="6F2B796D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7.19</w:t>
            </w:r>
          </w:p>
        </w:tc>
      </w:tr>
      <w:tr w:rsidR="00E4570C" w14:paraId="095AB70B" w14:textId="77777777">
        <w:trPr>
          <w:trHeight w:val="344"/>
        </w:trPr>
        <w:tc>
          <w:tcPr>
            <w:tcW w:w="780" w:type="pct"/>
            <w:noWrap/>
          </w:tcPr>
          <w:p w14:paraId="782A8951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范围</w:t>
            </w:r>
          </w:p>
        </w:tc>
        <w:tc>
          <w:tcPr>
            <w:tcW w:w="780" w:type="pct"/>
            <w:noWrap/>
          </w:tcPr>
          <w:p w14:paraId="12E2E423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14.04</w:t>
            </w:r>
          </w:p>
        </w:tc>
        <w:tc>
          <w:tcPr>
            <w:tcW w:w="780" w:type="pct"/>
            <w:noWrap/>
          </w:tcPr>
          <w:p w14:paraId="2556C1FF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22.67</w:t>
            </w:r>
          </w:p>
        </w:tc>
        <w:tc>
          <w:tcPr>
            <w:tcW w:w="780" w:type="pct"/>
            <w:noWrap/>
          </w:tcPr>
          <w:p w14:paraId="0C5D1EB8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3.82</w:t>
            </w:r>
          </w:p>
        </w:tc>
        <w:tc>
          <w:tcPr>
            <w:tcW w:w="1095" w:type="pct"/>
            <w:noWrap/>
          </w:tcPr>
          <w:p w14:paraId="6B702C78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1.02</w:t>
            </w:r>
          </w:p>
        </w:tc>
        <w:tc>
          <w:tcPr>
            <w:tcW w:w="780" w:type="pct"/>
            <w:noWrap/>
          </w:tcPr>
          <w:p w14:paraId="4966D734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5.32</w:t>
            </w:r>
          </w:p>
        </w:tc>
      </w:tr>
      <w:tr w:rsidR="00E4570C" w14:paraId="73931908" w14:textId="77777777">
        <w:trPr>
          <w:trHeight w:val="285"/>
        </w:trPr>
        <w:tc>
          <w:tcPr>
            <w:tcW w:w="780" w:type="pct"/>
            <w:noWrap/>
          </w:tcPr>
          <w:p w14:paraId="782CC99B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="Times New Roman" w:hint="eastAsia"/>
                <w:kern w:val="0"/>
                <w:szCs w:val="21"/>
                <w:lang w:bidi="ar"/>
              </w:rPr>
              <w:t>个案数</w:t>
            </w:r>
            <w:proofErr w:type="gramEnd"/>
          </w:p>
        </w:tc>
        <w:tc>
          <w:tcPr>
            <w:tcW w:w="780" w:type="pct"/>
            <w:noWrap/>
          </w:tcPr>
          <w:p w14:paraId="693F2A61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23</w:t>
            </w:r>
          </w:p>
        </w:tc>
        <w:tc>
          <w:tcPr>
            <w:tcW w:w="780" w:type="pct"/>
            <w:noWrap/>
          </w:tcPr>
          <w:p w14:paraId="3749BACF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23</w:t>
            </w:r>
          </w:p>
        </w:tc>
        <w:tc>
          <w:tcPr>
            <w:tcW w:w="780" w:type="pct"/>
            <w:noWrap/>
          </w:tcPr>
          <w:p w14:paraId="22905C6F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23</w:t>
            </w:r>
          </w:p>
        </w:tc>
        <w:tc>
          <w:tcPr>
            <w:tcW w:w="1095" w:type="pct"/>
            <w:noWrap/>
          </w:tcPr>
          <w:p w14:paraId="1736E1DF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5</w:t>
            </w:r>
          </w:p>
        </w:tc>
        <w:tc>
          <w:tcPr>
            <w:tcW w:w="780" w:type="pct"/>
            <w:noWrap/>
          </w:tcPr>
          <w:p w14:paraId="2F83EFCB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22</w:t>
            </w:r>
          </w:p>
        </w:tc>
      </w:tr>
      <w:tr w:rsidR="00E4570C" w14:paraId="5396609E" w14:textId="77777777">
        <w:trPr>
          <w:trHeight w:val="285"/>
        </w:trPr>
        <w:tc>
          <w:tcPr>
            <w:tcW w:w="780" w:type="pct"/>
            <w:noWrap/>
          </w:tcPr>
          <w:p w14:paraId="6D344363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合格个案</w:t>
            </w:r>
          </w:p>
        </w:tc>
        <w:tc>
          <w:tcPr>
            <w:tcW w:w="780" w:type="pct"/>
            <w:noWrap/>
          </w:tcPr>
          <w:p w14:paraId="090A13FF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23</w:t>
            </w:r>
          </w:p>
        </w:tc>
        <w:tc>
          <w:tcPr>
            <w:tcW w:w="780" w:type="pct"/>
            <w:noWrap/>
          </w:tcPr>
          <w:p w14:paraId="62ADC7D2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23</w:t>
            </w:r>
          </w:p>
        </w:tc>
        <w:tc>
          <w:tcPr>
            <w:tcW w:w="780" w:type="pct"/>
            <w:noWrap/>
          </w:tcPr>
          <w:p w14:paraId="3FD7A73E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23</w:t>
            </w:r>
          </w:p>
        </w:tc>
        <w:tc>
          <w:tcPr>
            <w:tcW w:w="1095" w:type="pct"/>
            <w:noWrap/>
          </w:tcPr>
          <w:p w14:paraId="4F37DB33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5</w:t>
            </w:r>
          </w:p>
        </w:tc>
        <w:tc>
          <w:tcPr>
            <w:tcW w:w="780" w:type="pct"/>
            <w:noWrap/>
          </w:tcPr>
          <w:p w14:paraId="2CE12006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21</w:t>
            </w:r>
          </w:p>
        </w:tc>
      </w:tr>
      <w:tr w:rsidR="00E4570C" w14:paraId="332B6A3E" w14:textId="77777777">
        <w:trPr>
          <w:trHeight w:val="285"/>
        </w:trPr>
        <w:tc>
          <w:tcPr>
            <w:tcW w:w="780" w:type="pct"/>
            <w:noWrap/>
          </w:tcPr>
          <w:p w14:paraId="4B057074" w14:textId="77777777" w:rsidR="00E4570C" w:rsidRDefault="00000000">
            <w:pPr>
              <w:spacing w:line="320" w:lineRule="atLeast"/>
              <w:ind w:left="60" w:right="60"/>
              <w:jc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合格率</w:t>
            </w:r>
          </w:p>
        </w:tc>
        <w:tc>
          <w:tcPr>
            <w:tcW w:w="780" w:type="pct"/>
            <w:noWrap/>
          </w:tcPr>
          <w:p w14:paraId="2AB7F0ED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100%</w:t>
            </w:r>
          </w:p>
        </w:tc>
        <w:tc>
          <w:tcPr>
            <w:tcW w:w="780" w:type="pct"/>
            <w:noWrap/>
          </w:tcPr>
          <w:p w14:paraId="6DA28551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100%</w:t>
            </w:r>
          </w:p>
        </w:tc>
        <w:tc>
          <w:tcPr>
            <w:tcW w:w="780" w:type="pct"/>
            <w:noWrap/>
          </w:tcPr>
          <w:p w14:paraId="0EE170BC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100%</w:t>
            </w:r>
          </w:p>
        </w:tc>
        <w:tc>
          <w:tcPr>
            <w:tcW w:w="1095" w:type="pct"/>
            <w:noWrap/>
          </w:tcPr>
          <w:p w14:paraId="79AE9CF5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100%</w:t>
            </w:r>
          </w:p>
        </w:tc>
        <w:tc>
          <w:tcPr>
            <w:tcW w:w="780" w:type="pct"/>
            <w:noWrap/>
          </w:tcPr>
          <w:p w14:paraId="3AC859D7" w14:textId="77777777" w:rsidR="00E4570C" w:rsidRDefault="00000000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  <w:lang w:bidi="ar"/>
              </w:rPr>
              <w:t>94.45%</w:t>
            </w:r>
          </w:p>
        </w:tc>
      </w:tr>
    </w:tbl>
    <w:p w14:paraId="36FA1B9A" w14:textId="77777777" w:rsidR="00E4570C" w:rsidRDefault="00000000">
      <w:pPr>
        <w:widowControl/>
        <w:spacing w:line="360" w:lineRule="auto"/>
        <w:ind w:firstLineChars="200" w:firstLine="480"/>
        <w:rPr>
          <w:rFonts w:ascii="Times New Roman" w:eastAsiaTheme="minorEastAsia" w:hAnsi="Times New Roman"/>
          <w:b/>
          <w:bCs/>
          <w:sz w:val="24"/>
        </w:rPr>
      </w:pPr>
      <w:r>
        <w:rPr>
          <w:rFonts w:ascii="Times New Roman" w:eastAsiaTheme="minorEastAsia" w:hAnsi="Times New Roman" w:hint="eastAsia"/>
          <w:sz w:val="24"/>
        </w:rPr>
        <w:t>由表</w:t>
      </w:r>
      <w:r>
        <w:rPr>
          <w:rFonts w:ascii="Times New Roman" w:eastAsiaTheme="minorEastAsia" w:hAnsi="Times New Roman" w:hint="eastAsia"/>
          <w:sz w:val="24"/>
        </w:rPr>
        <w:t>3</w:t>
      </w:r>
      <w:r>
        <w:rPr>
          <w:rFonts w:ascii="Times New Roman" w:eastAsiaTheme="minorEastAsia" w:hAnsi="Times New Roman" w:hint="eastAsia"/>
          <w:sz w:val="24"/>
        </w:rPr>
        <w:t>至表</w:t>
      </w:r>
      <w:r>
        <w:rPr>
          <w:rFonts w:ascii="Times New Roman" w:eastAsiaTheme="minorEastAsia" w:hAnsi="Times New Roman" w:hint="eastAsia"/>
          <w:sz w:val="24"/>
        </w:rPr>
        <w:t>5</w:t>
      </w:r>
      <w:r>
        <w:rPr>
          <w:rFonts w:ascii="Times New Roman" w:eastAsiaTheme="minorEastAsia" w:hAnsi="Times New Roman" w:hint="eastAsia"/>
          <w:sz w:val="24"/>
        </w:rPr>
        <w:t>可以发现，目前各企业生产的茶多酚产品总体合格率较高，但在收集到的样品中，儿茶素总量、咖啡碱、水分含量三个指标中出现了不合格产品，这也进一步说明亟需对茶多酚的加工工艺过程进行规范，以进一步提升产品合格率和品质特性。此外，实地调研过程中发现，作为全球最大的茶多酚生产国，虽然我国茶多酚产量大约占全世界的</w:t>
      </w:r>
      <w:r>
        <w:rPr>
          <w:rFonts w:ascii="Times New Roman" w:eastAsiaTheme="minorEastAsia" w:hAnsi="Times New Roman"/>
          <w:sz w:val="24"/>
        </w:rPr>
        <w:t xml:space="preserve"> 60%</w:t>
      </w:r>
      <w:r>
        <w:rPr>
          <w:rFonts w:ascii="Times New Roman" w:eastAsiaTheme="minorEastAsia" w:hAnsi="Times New Roman" w:hint="eastAsia"/>
          <w:sz w:val="24"/>
        </w:rPr>
        <w:t>以上，但我国茶多酚产品溶剂和农药残留尚缺乏统一标准和测定规范。在茶多酚工厂化生产制备过程中，由于采用溶</w:t>
      </w:r>
      <w:r>
        <w:rPr>
          <w:rFonts w:ascii="Times New Roman" w:eastAsiaTheme="minorEastAsia" w:hAnsi="Times New Roman" w:hint="eastAsia"/>
          <w:sz w:val="24"/>
        </w:rPr>
        <w:lastRenderedPageBreak/>
        <w:t>剂提取、咖啡因脱除等工序，易存在乙酸乙酯等有机溶剂残留风险。基于茶多酚产业高质量发展及</w:t>
      </w:r>
      <w:proofErr w:type="gramStart"/>
      <w:r>
        <w:rPr>
          <w:rFonts w:ascii="Times New Roman" w:eastAsiaTheme="minorEastAsia" w:hAnsi="Times New Roman" w:hint="eastAsia"/>
          <w:sz w:val="24"/>
        </w:rPr>
        <w:t>践行</w:t>
      </w:r>
      <w:proofErr w:type="gramEnd"/>
      <w:r>
        <w:rPr>
          <w:rFonts w:ascii="Times New Roman" w:eastAsiaTheme="minorEastAsia" w:hAnsi="Times New Roman" w:hint="eastAsia"/>
          <w:sz w:val="24"/>
        </w:rPr>
        <w:t>生态低碳理念，在标准研制过程中以绿色低碳高效为导向，进一步规范和推动茶多酚产业的提质增效。</w:t>
      </w:r>
    </w:p>
    <w:p w14:paraId="434CC952" w14:textId="77777777" w:rsidR="00E4570C" w:rsidRDefault="00000000">
      <w:pPr>
        <w:widowControl/>
        <w:spacing w:line="360" w:lineRule="auto"/>
        <w:jc w:val="left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 w:hint="eastAsia"/>
          <w:sz w:val="24"/>
        </w:rPr>
        <w:t>参考文献：</w:t>
      </w:r>
    </w:p>
    <w:p w14:paraId="729396B7" w14:textId="77777777" w:rsidR="00E4570C" w:rsidRDefault="00000000">
      <w:pPr>
        <w:autoSpaceDE w:val="0"/>
        <w:autoSpaceDN w:val="0"/>
        <w:adjustRightInd w:val="0"/>
        <w:spacing w:line="340" w:lineRule="exact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[1]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</w:r>
      <w:proofErr w:type="gramStart"/>
      <w:r>
        <w:rPr>
          <w:rFonts w:ascii="Times New Roman" w:eastAsiaTheme="minorEastAsia" w:hAnsi="Times New Roman" w:hint="eastAsia"/>
          <w:kern w:val="0"/>
          <w:sz w:val="18"/>
          <w:szCs w:val="18"/>
        </w:rPr>
        <w:t>张贞发</w:t>
      </w:r>
      <w:proofErr w:type="gramEnd"/>
      <w:r>
        <w:rPr>
          <w:rFonts w:ascii="Times New Roman" w:eastAsiaTheme="minorEastAsia" w:hAnsi="Times New Roman"/>
          <w:kern w:val="0"/>
          <w:sz w:val="18"/>
          <w:szCs w:val="18"/>
        </w:rPr>
        <w:t xml:space="preserve">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关于改进茶多酚提取工艺的分析研究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[J].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福建茶叶</w:t>
      </w:r>
      <w:r>
        <w:rPr>
          <w:rFonts w:ascii="Times New Roman" w:eastAsiaTheme="minorEastAsia" w:hAnsi="Times New Roman"/>
          <w:kern w:val="0"/>
          <w:sz w:val="18"/>
          <w:szCs w:val="18"/>
        </w:rPr>
        <w:t>, 2016, 38(4): 277-278.</w:t>
      </w:r>
    </w:p>
    <w:p w14:paraId="2309DE79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[2]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杨贤强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王岳飞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陈留记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茶多酚化学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[M].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上海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: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上海科学技术出版社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2003. </w:t>
      </w:r>
    </w:p>
    <w:p w14:paraId="4CA88253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[3]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</w:r>
      <w:proofErr w:type="gramStart"/>
      <w:r>
        <w:rPr>
          <w:rFonts w:ascii="Times New Roman" w:eastAsiaTheme="minorEastAsia" w:hAnsi="Times New Roman" w:hint="eastAsia"/>
          <w:kern w:val="0"/>
          <w:sz w:val="18"/>
          <w:szCs w:val="18"/>
        </w:rPr>
        <w:t>梁月荣</w:t>
      </w:r>
      <w:proofErr w:type="gramEnd"/>
      <w:r>
        <w:rPr>
          <w:rFonts w:ascii="Times New Roman" w:eastAsiaTheme="minorEastAsia" w:hAnsi="Times New Roman"/>
          <w:kern w:val="0"/>
          <w:sz w:val="18"/>
          <w:szCs w:val="18"/>
        </w:rPr>
        <w:t xml:space="preserve">. </w:t>
      </w:r>
      <w:proofErr w:type="gramStart"/>
      <w:r>
        <w:rPr>
          <w:rFonts w:ascii="Times New Roman" w:eastAsiaTheme="minorEastAsia" w:hAnsi="Times New Roman" w:hint="eastAsia"/>
          <w:kern w:val="0"/>
          <w:sz w:val="18"/>
          <w:szCs w:val="18"/>
        </w:rPr>
        <w:t>茶资源</w:t>
      </w:r>
      <w:proofErr w:type="gramEnd"/>
      <w:r>
        <w:rPr>
          <w:rFonts w:ascii="Times New Roman" w:eastAsiaTheme="minorEastAsia" w:hAnsi="Times New Roman" w:hint="eastAsia"/>
          <w:kern w:val="0"/>
          <w:sz w:val="18"/>
          <w:szCs w:val="18"/>
        </w:rPr>
        <w:t>综合利用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[M].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杭州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: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浙江大学出版社</w:t>
      </w:r>
      <w:r>
        <w:rPr>
          <w:rFonts w:ascii="Times New Roman" w:eastAsiaTheme="minorEastAsia" w:hAnsi="Times New Roman"/>
          <w:kern w:val="0"/>
          <w:sz w:val="18"/>
          <w:szCs w:val="18"/>
        </w:rPr>
        <w:t>, 2013.</w:t>
      </w:r>
    </w:p>
    <w:p w14:paraId="779C9718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[4]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周义卉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超滤膜分离速溶茶副产品中茶多酚与咖啡碱的研究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[D].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合肥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: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安徽农业大学</w:t>
      </w:r>
      <w:r>
        <w:rPr>
          <w:rFonts w:ascii="Times New Roman" w:eastAsiaTheme="minorEastAsia" w:hAnsi="Times New Roman"/>
          <w:kern w:val="0"/>
          <w:sz w:val="18"/>
          <w:szCs w:val="18"/>
        </w:rPr>
        <w:t>, 2011.</w:t>
      </w:r>
    </w:p>
    <w:p w14:paraId="4D5D77F7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  <w:lang w:val="fr-FR"/>
        </w:rPr>
        <w:t>[5]</w:t>
      </w:r>
      <w:r>
        <w:rPr>
          <w:rFonts w:ascii="Times New Roman" w:eastAsiaTheme="minorEastAsia" w:hAnsi="Times New Roman"/>
          <w:kern w:val="0"/>
          <w:sz w:val="18"/>
          <w:szCs w:val="18"/>
          <w:lang w:val="fr-FR"/>
        </w:rPr>
        <w:tab/>
        <w:t xml:space="preserve">DONG J, YE J, LU J, et al. </w:t>
      </w:r>
      <w:r>
        <w:rPr>
          <w:rFonts w:ascii="Times New Roman" w:eastAsiaTheme="minorEastAsia" w:hAnsi="Times New Roman"/>
          <w:kern w:val="0"/>
          <w:sz w:val="18"/>
          <w:szCs w:val="18"/>
        </w:rPr>
        <w:t>Isolation of antioxidant catechins from green tea and its decaffeination[J]. Food and Bioproducts Processing, 2011, 89(1): 62-66.</w:t>
      </w:r>
    </w:p>
    <w:p w14:paraId="15D02F80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[6]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李嘉伟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邢鹏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张迎娴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等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大孔吸附树脂纯化油茶壳中多酚类化合物的研究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[J].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湖南农业科学</w:t>
      </w:r>
      <w:r>
        <w:rPr>
          <w:rFonts w:ascii="Times New Roman" w:eastAsiaTheme="minorEastAsia" w:hAnsi="Times New Roman"/>
          <w:kern w:val="0"/>
          <w:sz w:val="18"/>
          <w:szCs w:val="18"/>
        </w:rPr>
        <w:t>, 2014(15): 60-63, 66.</w:t>
      </w:r>
    </w:p>
    <w:p w14:paraId="6EBB0322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[7]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马乐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韩军歧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张润光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等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大孔吸附树脂在植物多酚分离纯化中的应用现状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[J].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食品工业科技</w:t>
      </w:r>
      <w:r>
        <w:rPr>
          <w:rFonts w:ascii="Times New Roman" w:eastAsiaTheme="minorEastAsia" w:hAnsi="Times New Roman"/>
          <w:kern w:val="0"/>
          <w:sz w:val="18"/>
          <w:szCs w:val="18"/>
        </w:rPr>
        <w:t>, 2015, 36(12): 364-367.</w:t>
      </w:r>
    </w:p>
    <w:p w14:paraId="1774340D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[8]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杨秀芳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杨贤强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吸附茶多酚树脂的筛选研究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[J].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天然产物研究与开发</w:t>
      </w:r>
      <w:r>
        <w:rPr>
          <w:rFonts w:ascii="Times New Roman" w:eastAsiaTheme="minorEastAsia" w:hAnsi="Times New Roman"/>
          <w:kern w:val="0"/>
          <w:sz w:val="18"/>
          <w:szCs w:val="18"/>
        </w:rPr>
        <w:t>, 2006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（增刊）</w:t>
      </w:r>
      <w:r>
        <w:rPr>
          <w:rFonts w:ascii="Times New Roman" w:eastAsiaTheme="minorEastAsia" w:hAnsi="Times New Roman"/>
          <w:kern w:val="0"/>
          <w:sz w:val="18"/>
          <w:szCs w:val="18"/>
        </w:rPr>
        <w:t>.</w:t>
      </w:r>
    </w:p>
    <w:p w14:paraId="5FFDA492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[9]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曹雪文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proofErr w:type="gramStart"/>
      <w:r>
        <w:rPr>
          <w:rFonts w:ascii="Times New Roman" w:eastAsiaTheme="minorEastAsia" w:hAnsi="Times New Roman" w:hint="eastAsia"/>
          <w:kern w:val="0"/>
          <w:sz w:val="18"/>
          <w:szCs w:val="18"/>
        </w:rPr>
        <w:t>熊道陵</w:t>
      </w:r>
      <w:proofErr w:type="gramEnd"/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proofErr w:type="gramStart"/>
      <w:r>
        <w:rPr>
          <w:rFonts w:ascii="Times New Roman" w:eastAsiaTheme="minorEastAsia" w:hAnsi="Times New Roman" w:hint="eastAsia"/>
          <w:kern w:val="0"/>
          <w:sz w:val="18"/>
          <w:szCs w:val="18"/>
        </w:rPr>
        <w:t>王露琦</w:t>
      </w:r>
      <w:proofErr w:type="gramEnd"/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等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树脂法提取茶多酚的工艺研究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[J].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有色金属科学与工程</w:t>
      </w:r>
      <w:r>
        <w:rPr>
          <w:rFonts w:ascii="Times New Roman" w:eastAsiaTheme="minorEastAsia" w:hAnsi="Times New Roman"/>
          <w:kern w:val="0"/>
          <w:sz w:val="18"/>
          <w:szCs w:val="18"/>
        </w:rPr>
        <w:t>, 2019(5): 52-58.</w:t>
      </w:r>
    </w:p>
    <w:p w14:paraId="209F6AAE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[10]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雷志伟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proofErr w:type="gramStart"/>
      <w:r>
        <w:rPr>
          <w:rFonts w:ascii="Times New Roman" w:eastAsiaTheme="minorEastAsia" w:hAnsi="Times New Roman" w:hint="eastAsia"/>
          <w:kern w:val="0"/>
          <w:sz w:val="18"/>
          <w:szCs w:val="18"/>
        </w:rPr>
        <w:t>喻云春</w:t>
      </w:r>
      <w:proofErr w:type="gramEnd"/>
      <w:r>
        <w:rPr>
          <w:rFonts w:ascii="Times New Roman" w:eastAsiaTheme="minorEastAsia" w:hAnsi="Times New Roman"/>
          <w:kern w:val="0"/>
          <w:sz w:val="18"/>
          <w:szCs w:val="18"/>
        </w:rPr>
        <w:t xml:space="preserve">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茶叶中茶多酚提取技术进展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[J].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贵州茶叶</w:t>
      </w:r>
      <w:r>
        <w:rPr>
          <w:rFonts w:ascii="Times New Roman" w:eastAsiaTheme="minorEastAsia" w:hAnsi="Times New Roman"/>
          <w:kern w:val="0"/>
          <w:sz w:val="18"/>
          <w:szCs w:val="18"/>
        </w:rPr>
        <w:t>, 2015(3): 21-24.</w:t>
      </w:r>
    </w:p>
    <w:p w14:paraId="1ECC4F6F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[11]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谢小花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戴缘</w:t>
      </w:r>
      <w:proofErr w:type="gramStart"/>
      <w:r>
        <w:rPr>
          <w:rFonts w:ascii="Times New Roman" w:eastAsiaTheme="minorEastAsia" w:hAnsi="Times New Roman" w:hint="eastAsia"/>
          <w:kern w:val="0"/>
          <w:sz w:val="18"/>
          <w:szCs w:val="18"/>
        </w:rPr>
        <w:t>缘</w:t>
      </w:r>
      <w:proofErr w:type="gramEnd"/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陈静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等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微波法从绿茶中提取茶多酚的工艺研究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[J].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佳木斯大学学报</w:t>
      </w:r>
      <w:r>
        <w:rPr>
          <w:rFonts w:ascii="Times New Roman" w:eastAsiaTheme="minorEastAsia" w:hAnsi="Times New Roman"/>
          <w:kern w:val="0"/>
          <w:sz w:val="18"/>
          <w:szCs w:val="18"/>
        </w:rPr>
        <w:t>(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自然科学版</w:t>
      </w:r>
      <w:r>
        <w:rPr>
          <w:rFonts w:ascii="Times New Roman" w:eastAsiaTheme="minorEastAsia" w:hAnsi="Times New Roman"/>
          <w:kern w:val="0"/>
          <w:sz w:val="18"/>
          <w:szCs w:val="18"/>
        </w:rPr>
        <w:t>), 2019, 37(3): 443-446.</w:t>
      </w:r>
    </w:p>
    <w:p w14:paraId="1F100DF9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  <w:lang w:val="fr-FR"/>
        </w:rPr>
        <w:t>[12]</w:t>
      </w:r>
      <w:r>
        <w:rPr>
          <w:rFonts w:ascii="Times New Roman" w:eastAsiaTheme="minorEastAsia" w:hAnsi="Times New Roman"/>
          <w:kern w:val="0"/>
          <w:sz w:val="18"/>
          <w:szCs w:val="18"/>
          <w:lang w:val="fr-FR"/>
        </w:rPr>
        <w:tab/>
        <w:t xml:space="preserve">LI Z, HUANG D, TANG Z, et al. </w:t>
      </w:r>
      <w:r>
        <w:rPr>
          <w:rFonts w:ascii="Times New Roman" w:eastAsiaTheme="minorEastAsia" w:hAnsi="Times New Roman"/>
          <w:kern w:val="0"/>
          <w:sz w:val="18"/>
          <w:szCs w:val="18"/>
        </w:rPr>
        <w:t>Microwave-assisted extraction followed by CE for determination of catechin and epicatechin in green tea[J]. Journal of Separation Science, 2015, 33(8): 1079-1084.</w:t>
      </w:r>
    </w:p>
    <w:p w14:paraId="45F4C939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[13]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姜绍通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侯晨晔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基于膜分离的茶多酚绿色制备方法研究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[J].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食品科技</w:t>
      </w:r>
      <w:r>
        <w:rPr>
          <w:rFonts w:ascii="Times New Roman" w:eastAsiaTheme="minorEastAsia" w:hAnsi="Times New Roman"/>
          <w:kern w:val="0"/>
          <w:sz w:val="18"/>
          <w:szCs w:val="18"/>
        </w:rPr>
        <w:t>, 2013, 38(5): 227-231.</w:t>
      </w:r>
    </w:p>
    <w:p w14:paraId="5AD85949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[14]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</w:r>
      <w:proofErr w:type="gramStart"/>
      <w:r>
        <w:rPr>
          <w:rFonts w:ascii="Times New Roman" w:eastAsiaTheme="minorEastAsia" w:hAnsi="Times New Roman" w:hint="eastAsia"/>
          <w:kern w:val="0"/>
          <w:sz w:val="18"/>
          <w:szCs w:val="18"/>
        </w:rPr>
        <w:t>侯善欣</w:t>
      </w:r>
      <w:proofErr w:type="gramEnd"/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应</w:t>
      </w:r>
      <w:proofErr w:type="gramStart"/>
      <w:r>
        <w:rPr>
          <w:rFonts w:ascii="Times New Roman" w:eastAsiaTheme="minorEastAsia" w:hAnsi="Times New Roman" w:hint="eastAsia"/>
          <w:kern w:val="0"/>
          <w:sz w:val="18"/>
          <w:szCs w:val="18"/>
        </w:rPr>
        <w:t>浩</w:t>
      </w:r>
      <w:proofErr w:type="gramEnd"/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黄美蓉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等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高速逆流色谱分离制备茶多酚中两种黄酮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[J].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食品科技</w:t>
      </w:r>
      <w:r>
        <w:rPr>
          <w:rFonts w:ascii="Times New Roman" w:eastAsiaTheme="minorEastAsia" w:hAnsi="Times New Roman"/>
          <w:kern w:val="0"/>
          <w:sz w:val="18"/>
          <w:szCs w:val="18"/>
        </w:rPr>
        <w:t>, 2015, 40(10): 186-189.</w:t>
      </w:r>
    </w:p>
    <w:p w14:paraId="38E62D98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[15]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  <w:t xml:space="preserve">CHEN W, LI S, CHEN L, et al. Online polar </w:t>
      </w:r>
      <w:proofErr w:type="gramStart"/>
      <w:r>
        <w:rPr>
          <w:rFonts w:ascii="Times New Roman" w:eastAsiaTheme="minorEastAsia" w:hAnsi="Times New Roman"/>
          <w:kern w:val="0"/>
          <w:sz w:val="18"/>
          <w:szCs w:val="18"/>
        </w:rPr>
        <w:t>two phase</w:t>
      </w:r>
      <w:proofErr w:type="gramEnd"/>
      <w:r>
        <w:rPr>
          <w:rFonts w:ascii="Times New Roman" w:eastAsiaTheme="minorEastAsia" w:hAnsi="Times New Roman"/>
          <w:kern w:val="0"/>
          <w:sz w:val="18"/>
          <w:szCs w:val="18"/>
        </w:rPr>
        <w:t xml:space="preserve"> countercurrent </w:t>
      </w:r>
      <w:proofErr w:type="spellStart"/>
      <w:r>
        <w:rPr>
          <w:rFonts w:ascii="Times New Roman" w:eastAsiaTheme="minorEastAsia" w:hAnsi="Times New Roman"/>
          <w:kern w:val="0"/>
          <w:sz w:val="18"/>
          <w:szCs w:val="18"/>
        </w:rPr>
        <w:t>chromatography×high</w:t>
      </w:r>
      <w:proofErr w:type="spellEnd"/>
      <w:r>
        <w:rPr>
          <w:rFonts w:ascii="Times New Roman" w:eastAsiaTheme="minorEastAsia" w:hAnsi="Times New Roman"/>
          <w:kern w:val="0"/>
          <w:sz w:val="18"/>
          <w:szCs w:val="18"/>
        </w:rPr>
        <w:t xml:space="preserve"> performance liquid chromatography for preparative isolation of polar polyphenols from tea extract in a single step[J]. Journal of Chromatography B, 2015, 997: 179-186.</w:t>
      </w:r>
    </w:p>
    <w:p w14:paraId="71700585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[16]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  <w:t>SAVITRIA KUMAR N, MADUWANTHA B. WIJEKOON W M A, KUMAR V, et al. Separation of proanthocyanidins isolated from tea leaves using high-speed counter-current chromatography[J]. Journal of Chromatography A, 2009, 1216(19): 4295-4302.</w:t>
      </w:r>
    </w:p>
    <w:p w14:paraId="7190AF55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[17]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  <w:t>DU Q, JIANG H, YIN J, et al. Scaling up of high-speed countercurrent chromatographic apparatus with three columns connected in series for rapid preparation of (−)-epicatechin[J]. Journal of Chromatography A, 2013, 1271(1): 62-66.</w:t>
      </w:r>
    </w:p>
    <w:p w14:paraId="56A33EFF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[18]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郑生宏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缪叶旻子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proofErr w:type="gramStart"/>
      <w:r>
        <w:rPr>
          <w:rFonts w:ascii="Times New Roman" w:eastAsiaTheme="minorEastAsia" w:hAnsi="Times New Roman" w:hint="eastAsia"/>
          <w:kern w:val="0"/>
          <w:sz w:val="18"/>
          <w:szCs w:val="18"/>
        </w:rPr>
        <w:t>严芳</w:t>
      </w:r>
      <w:proofErr w:type="gramEnd"/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等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复合酶辅助浸提绿茶多酚工艺条件优化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[J].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食品工业科技</w:t>
      </w:r>
      <w:r>
        <w:rPr>
          <w:rFonts w:ascii="Times New Roman" w:eastAsiaTheme="minorEastAsia" w:hAnsi="Times New Roman"/>
          <w:kern w:val="0"/>
          <w:sz w:val="18"/>
          <w:szCs w:val="18"/>
        </w:rPr>
        <w:t>, 2016, 37(8): 211-214.</w:t>
      </w:r>
    </w:p>
    <w:p w14:paraId="4FB4A4DD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[19]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黄德娜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李锋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曾承露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等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酶法提取夏秋季次品绿茶</w:t>
      </w:r>
      <w:proofErr w:type="gramStart"/>
      <w:r>
        <w:rPr>
          <w:rFonts w:ascii="Times New Roman" w:eastAsiaTheme="minorEastAsia" w:hAnsi="Times New Roman" w:hint="eastAsia"/>
          <w:kern w:val="0"/>
          <w:sz w:val="18"/>
          <w:szCs w:val="18"/>
        </w:rPr>
        <w:t>茶</w:t>
      </w:r>
      <w:proofErr w:type="gramEnd"/>
      <w:r>
        <w:rPr>
          <w:rFonts w:ascii="Times New Roman" w:eastAsiaTheme="minorEastAsia" w:hAnsi="Times New Roman" w:hint="eastAsia"/>
          <w:kern w:val="0"/>
          <w:sz w:val="18"/>
          <w:szCs w:val="18"/>
        </w:rPr>
        <w:t>多酚工艺优化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[J].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江苏农业科学</w:t>
      </w:r>
      <w:r>
        <w:rPr>
          <w:rFonts w:ascii="Times New Roman" w:eastAsiaTheme="minorEastAsia" w:hAnsi="Times New Roman"/>
          <w:kern w:val="0"/>
          <w:sz w:val="18"/>
          <w:szCs w:val="18"/>
        </w:rPr>
        <w:t>, 2016, 44(4): 347-350.</w:t>
      </w:r>
    </w:p>
    <w:p w14:paraId="60257F29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[20]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徐婕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汤韧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proofErr w:type="gramStart"/>
      <w:r>
        <w:rPr>
          <w:rFonts w:ascii="Times New Roman" w:eastAsiaTheme="minorEastAsia" w:hAnsi="Times New Roman" w:hint="eastAsia"/>
          <w:kern w:val="0"/>
          <w:sz w:val="18"/>
          <w:szCs w:val="18"/>
        </w:rPr>
        <w:t>吉树臣</w:t>
      </w:r>
      <w:proofErr w:type="gramEnd"/>
      <w:r>
        <w:rPr>
          <w:rFonts w:ascii="Times New Roman" w:eastAsiaTheme="minorEastAsia" w:hAnsi="Times New Roman"/>
          <w:kern w:val="0"/>
          <w:sz w:val="18"/>
          <w:szCs w:val="18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等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酶法辅助提取茶多酚的工艺研究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[J]. </w:t>
      </w:r>
      <w:r>
        <w:rPr>
          <w:rFonts w:ascii="Times New Roman" w:eastAsiaTheme="minorEastAsia" w:hAnsi="Times New Roman" w:hint="eastAsia"/>
          <w:kern w:val="0"/>
          <w:sz w:val="18"/>
          <w:szCs w:val="18"/>
        </w:rPr>
        <w:t>食品研究与开发</w:t>
      </w:r>
      <w:r>
        <w:rPr>
          <w:rFonts w:ascii="Times New Roman" w:eastAsiaTheme="minorEastAsia" w:hAnsi="Times New Roman"/>
          <w:kern w:val="0"/>
          <w:sz w:val="18"/>
          <w:szCs w:val="18"/>
        </w:rPr>
        <w:t>, 2016, 37(5): 86-91.</w:t>
      </w:r>
    </w:p>
    <w:p w14:paraId="198C2FAC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  <w:lang w:val="fr-FR"/>
        </w:rPr>
        <w:t>[21]</w:t>
      </w:r>
      <w:r>
        <w:rPr>
          <w:rFonts w:ascii="Times New Roman" w:eastAsiaTheme="minorEastAsia" w:hAnsi="Times New Roman"/>
          <w:kern w:val="0"/>
          <w:sz w:val="18"/>
          <w:szCs w:val="18"/>
          <w:lang w:val="fr-FR"/>
        </w:rPr>
        <w:tab/>
        <w:t xml:space="preserve">CHENG Y F, YANG Y, WEN F X, et al. </w:t>
      </w:r>
      <w:r>
        <w:rPr>
          <w:rFonts w:ascii="Times New Roman" w:eastAsiaTheme="minorEastAsia" w:hAnsi="Times New Roman"/>
          <w:kern w:val="0"/>
          <w:sz w:val="18"/>
          <w:szCs w:val="18"/>
        </w:rPr>
        <w:t>Optimization of enzymatic extraction for tea polyphenols from sweet tea by response surface methodology[J]. Food Science, 2012, 33(10): 10-15.</w:t>
      </w:r>
    </w:p>
    <w:p w14:paraId="320DA2EA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lastRenderedPageBreak/>
        <w:t>[22]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  <w:t>CHANDINI S K, RAO L J, GOWTHAMAN M K, et al. Enzymatic treatment to improve the quality of black tea extracts[J]. Food Chemistry, 2011, 127(3): 1039-1045.</w:t>
      </w:r>
    </w:p>
    <w:p w14:paraId="502FC525" w14:textId="77777777" w:rsidR="00E4570C" w:rsidRDefault="00000000">
      <w:pPr>
        <w:autoSpaceDE w:val="0"/>
        <w:autoSpaceDN w:val="0"/>
        <w:adjustRightInd w:val="0"/>
        <w:ind w:left="840" w:hanging="840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[23]</w:t>
      </w:r>
      <w:r>
        <w:rPr>
          <w:rFonts w:ascii="Times New Roman" w:eastAsiaTheme="minorEastAsia" w:hAnsi="Times New Roman"/>
          <w:kern w:val="0"/>
          <w:sz w:val="18"/>
          <w:szCs w:val="18"/>
        </w:rPr>
        <w:tab/>
        <w:t>PASRIJA D, ANANDHARAMAKRISHNAN C. Techniques for extraction of green tea polyphenols: A review[J]. Food &amp; Bioprocess Technology, 2015, 8(5): 935-950.</w:t>
      </w:r>
    </w:p>
    <w:p w14:paraId="14546CAB" w14:textId="77777777" w:rsidR="00E4570C" w:rsidRDefault="00000000">
      <w:pPr>
        <w:spacing w:beforeLines="50" w:before="156" w:line="276" w:lineRule="auto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 w:hint="eastAsia"/>
          <w:b/>
          <w:bCs/>
          <w:sz w:val="28"/>
        </w:rPr>
        <w:t>五</w:t>
      </w:r>
      <w:r>
        <w:rPr>
          <w:rFonts w:ascii="Times New Roman" w:hAnsi="Times New Roman"/>
          <w:b/>
          <w:bCs/>
          <w:sz w:val="28"/>
        </w:rPr>
        <w:t>、与有关的现行法律法规，强制性国家标准关系</w:t>
      </w:r>
    </w:p>
    <w:p w14:paraId="05D9A10F" w14:textId="77777777" w:rsidR="00E4570C" w:rsidRDefault="00000000">
      <w:pPr>
        <w:spacing w:line="360" w:lineRule="auto"/>
        <w:ind w:firstLineChars="200" w:firstLine="48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本标准的制定符合现行法律、法规的要求，对我国标准与法规起到支撑与细化作用。技术规范的制定，与我国国家标准，企业标准等协调一致，配套使用，相互支撑。</w:t>
      </w:r>
    </w:p>
    <w:p w14:paraId="09047420" w14:textId="77777777" w:rsidR="00E4570C" w:rsidRDefault="00000000">
      <w:pPr>
        <w:spacing w:beforeLines="50" w:before="156" w:line="276" w:lineRule="auto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 w:hint="eastAsia"/>
          <w:b/>
          <w:bCs/>
          <w:sz w:val="28"/>
        </w:rPr>
        <w:t>六</w:t>
      </w:r>
      <w:r>
        <w:rPr>
          <w:rFonts w:ascii="Times New Roman" w:hAnsi="Times New Roman"/>
          <w:b/>
          <w:bCs/>
          <w:sz w:val="28"/>
        </w:rPr>
        <w:t>、标准作为强制性标准或推荐性标准建议</w:t>
      </w:r>
    </w:p>
    <w:p w14:paraId="0AE7A188" w14:textId="77777777" w:rsidR="00E4570C" w:rsidRDefault="00000000">
      <w:pPr>
        <w:spacing w:line="360" w:lineRule="auto"/>
        <w:ind w:firstLineChars="200" w:firstLine="48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建议将本标准作为推荐性行业标准。</w:t>
      </w:r>
    </w:p>
    <w:p w14:paraId="732C90D5" w14:textId="77777777" w:rsidR="00E4570C" w:rsidRDefault="00000000">
      <w:pPr>
        <w:spacing w:beforeLines="50" w:before="156" w:line="276" w:lineRule="auto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 w:hint="eastAsia"/>
          <w:b/>
          <w:bCs/>
          <w:sz w:val="28"/>
        </w:rPr>
        <w:t>七</w:t>
      </w:r>
      <w:r>
        <w:rPr>
          <w:rFonts w:ascii="Times New Roman" w:hAnsi="Times New Roman"/>
          <w:b/>
          <w:bCs/>
          <w:sz w:val="28"/>
        </w:rPr>
        <w:t>、贯彻本文件的要求和措施建议</w:t>
      </w:r>
    </w:p>
    <w:p w14:paraId="0FBD1E96" w14:textId="77777777" w:rsidR="00E4570C" w:rsidRDefault="00000000">
      <w:pPr>
        <w:spacing w:line="360" w:lineRule="auto"/>
        <w:ind w:firstLineChars="200" w:firstLine="48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标准发布后</w:t>
      </w:r>
      <w:r>
        <w:rPr>
          <w:rFonts w:ascii="Times New Roman" w:hAnsi="Times New Roman"/>
          <w:bCs/>
          <w:sz w:val="24"/>
        </w:rPr>
        <w:t>1</w:t>
      </w:r>
      <w:r>
        <w:rPr>
          <w:rFonts w:ascii="Times New Roman" w:hAnsi="Times New Roman"/>
          <w:bCs/>
          <w:sz w:val="24"/>
        </w:rPr>
        <w:t>年内，将根据各方反馈意见择期召开标准宣贯会议。向监管部门、技术审评部门、检验机构、生产企业等使用单位发放标准宣贯资料，并解答标准中相关技术难点和疑点。建议本标准在发布之日起</w:t>
      </w:r>
      <w:r>
        <w:rPr>
          <w:rFonts w:ascii="Times New Roman" w:hAnsi="Times New Roman"/>
          <w:bCs/>
          <w:sz w:val="24"/>
        </w:rPr>
        <w:t>12</w:t>
      </w:r>
      <w:r>
        <w:rPr>
          <w:rFonts w:ascii="Times New Roman" w:hAnsi="Times New Roman"/>
          <w:bCs/>
          <w:sz w:val="24"/>
        </w:rPr>
        <w:t>个月实施。</w:t>
      </w:r>
    </w:p>
    <w:p w14:paraId="654B26D9" w14:textId="77777777" w:rsidR="00E4570C" w:rsidRDefault="00000000">
      <w:pPr>
        <w:spacing w:beforeLines="50" w:before="156" w:line="276" w:lineRule="auto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 w:hint="eastAsia"/>
          <w:b/>
          <w:bCs/>
          <w:sz w:val="28"/>
        </w:rPr>
        <w:t>八</w:t>
      </w:r>
      <w:r>
        <w:rPr>
          <w:rFonts w:ascii="Times New Roman" w:hAnsi="Times New Roman"/>
          <w:b/>
          <w:bCs/>
          <w:sz w:val="28"/>
        </w:rPr>
        <w:t>、其他应予说明的事项</w:t>
      </w:r>
    </w:p>
    <w:p w14:paraId="49BA8A32" w14:textId="77777777" w:rsidR="00E4570C" w:rsidRDefault="00000000">
      <w:pPr>
        <w:spacing w:line="360" w:lineRule="auto"/>
        <w:ind w:firstLineChars="200" w:firstLine="480"/>
        <w:rPr>
          <w:rFonts w:ascii="Times New Roman" w:hAnsi="Times New Roman"/>
          <w:bCs/>
          <w:sz w:val="24"/>
        </w:rPr>
      </w:pPr>
      <w:r>
        <w:rPr>
          <w:rFonts w:ascii="Times New Roman" w:hAnsi="Times New Roman" w:hint="eastAsia"/>
          <w:bCs/>
          <w:sz w:val="24"/>
        </w:rPr>
        <w:t>与现行的法律、法规及其他国家标准、行业标准没有矛盾。</w:t>
      </w:r>
    </w:p>
    <w:p w14:paraId="78337AED" w14:textId="1BFB72A6" w:rsidR="00E4570C" w:rsidRDefault="00000000">
      <w:pPr>
        <w:spacing w:line="360" w:lineRule="auto"/>
        <w:ind w:firstLineChars="200" w:firstLine="480"/>
        <w:jc w:val="right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/>
          <w:sz w:val="24"/>
        </w:rPr>
        <w:t>《茶多酚加工技术规范》</w:t>
      </w:r>
      <w:r w:rsidR="00091E18">
        <w:rPr>
          <w:rFonts w:ascii="Times New Roman" w:eastAsiaTheme="minorEastAsia" w:hAnsi="Times New Roman" w:hint="eastAsia"/>
          <w:sz w:val="24"/>
        </w:rPr>
        <w:t>供销合作</w:t>
      </w:r>
      <w:r>
        <w:rPr>
          <w:rFonts w:ascii="Times New Roman" w:eastAsiaTheme="minorEastAsia" w:hAnsi="Times New Roman"/>
          <w:sz w:val="24"/>
        </w:rPr>
        <w:t>行业标准起草小组</w:t>
      </w:r>
    </w:p>
    <w:p w14:paraId="61C62CC0" w14:textId="620FEABF" w:rsidR="00E4570C" w:rsidRDefault="00000000">
      <w:pPr>
        <w:spacing w:line="360" w:lineRule="auto"/>
        <w:ind w:firstLineChars="200" w:firstLine="480"/>
        <w:jc w:val="right"/>
        <w:rPr>
          <w:rFonts w:ascii="Times New Roman" w:eastAsiaTheme="minorEastAsia" w:hAnsi="Times New Roman"/>
          <w:sz w:val="24"/>
        </w:rPr>
      </w:pPr>
      <w:r>
        <w:rPr>
          <w:rFonts w:ascii="Times New Roman" w:eastAsiaTheme="minorEastAsia" w:hAnsi="Times New Roman"/>
          <w:sz w:val="24"/>
        </w:rPr>
        <w:t>2025</w:t>
      </w:r>
      <w:r>
        <w:rPr>
          <w:rFonts w:ascii="Times New Roman" w:eastAsiaTheme="minorEastAsia" w:hAnsi="Times New Roman"/>
          <w:sz w:val="24"/>
        </w:rPr>
        <w:t>年</w:t>
      </w:r>
      <w:r w:rsidR="00F02AC0">
        <w:rPr>
          <w:rFonts w:ascii="Times New Roman" w:eastAsiaTheme="minorEastAsia" w:hAnsi="Times New Roman" w:hint="eastAsia"/>
          <w:sz w:val="24"/>
        </w:rPr>
        <w:t>7</w:t>
      </w:r>
      <w:r>
        <w:rPr>
          <w:rFonts w:ascii="Times New Roman" w:eastAsiaTheme="minorEastAsia" w:hAnsi="Times New Roman"/>
          <w:sz w:val="24"/>
        </w:rPr>
        <w:t>月</w:t>
      </w:r>
    </w:p>
    <w:sectPr w:rsidR="00E4570C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68CD1" w14:textId="77777777" w:rsidR="00955119" w:rsidRDefault="00955119">
      <w:r>
        <w:separator/>
      </w:r>
    </w:p>
  </w:endnote>
  <w:endnote w:type="continuationSeparator" w:id="0">
    <w:p w14:paraId="138713FD" w14:textId="77777777" w:rsidR="00955119" w:rsidRDefault="00955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7ED38" w14:textId="77777777" w:rsidR="00E4570C" w:rsidRDefault="00000000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EE94BC" wp14:editId="0ACCF260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E78E1A" w14:textId="77777777" w:rsidR="00E4570C" w:rsidRDefault="00000000">
                          <w:pPr>
                            <w:pStyle w:val="a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EE94BC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BE78E1A" w14:textId="77777777" w:rsidR="00E4570C" w:rsidRDefault="00000000">
                    <w:pPr>
                      <w:pStyle w:val="a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DD8DD" w14:textId="77777777" w:rsidR="00955119" w:rsidRDefault="00955119">
      <w:r>
        <w:separator/>
      </w:r>
    </w:p>
  </w:footnote>
  <w:footnote w:type="continuationSeparator" w:id="0">
    <w:p w14:paraId="7FA38FBC" w14:textId="77777777" w:rsidR="00955119" w:rsidRDefault="00955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3C6E1"/>
    <w:multiLevelType w:val="singleLevel"/>
    <w:tmpl w:val="2663C6E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306478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RlMTQwOTdiYTNlNjRjMDIyMTE3MGFiMjg2NmZiODMifQ=="/>
  </w:docVars>
  <w:rsids>
    <w:rsidRoot w:val="00172A27"/>
    <w:rsid w:val="00002772"/>
    <w:rsid w:val="0001436B"/>
    <w:rsid w:val="00020313"/>
    <w:rsid w:val="000215F0"/>
    <w:rsid w:val="00040DF8"/>
    <w:rsid w:val="00043F98"/>
    <w:rsid w:val="000462AF"/>
    <w:rsid w:val="000615E3"/>
    <w:rsid w:val="00065691"/>
    <w:rsid w:val="00072FA6"/>
    <w:rsid w:val="000809F6"/>
    <w:rsid w:val="00090B39"/>
    <w:rsid w:val="00091E18"/>
    <w:rsid w:val="00094B60"/>
    <w:rsid w:val="00095E30"/>
    <w:rsid w:val="000A0240"/>
    <w:rsid w:val="000A19ED"/>
    <w:rsid w:val="000A42FE"/>
    <w:rsid w:val="000A587F"/>
    <w:rsid w:val="000B19EE"/>
    <w:rsid w:val="000B1ACE"/>
    <w:rsid w:val="000C18E7"/>
    <w:rsid w:val="000E23B0"/>
    <w:rsid w:val="000E5461"/>
    <w:rsid w:val="000F4A68"/>
    <w:rsid w:val="000F4EA4"/>
    <w:rsid w:val="0010191B"/>
    <w:rsid w:val="00116DBA"/>
    <w:rsid w:val="00133CAA"/>
    <w:rsid w:val="00140333"/>
    <w:rsid w:val="00163B17"/>
    <w:rsid w:val="00172A27"/>
    <w:rsid w:val="00177224"/>
    <w:rsid w:val="00182E90"/>
    <w:rsid w:val="0019030F"/>
    <w:rsid w:val="001924CC"/>
    <w:rsid w:val="0019547B"/>
    <w:rsid w:val="001B08E2"/>
    <w:rsid w:val="001B5ECA"/>
    <w:rsid w:val="001C16DF"/>
    <w:rsid w:val="001C1BA2"/>
    <w:rsid w:val="001C3A0F"/>
    <w:rsid w:val="001C493A"/>
    <w:rsid w:val="002103B5"/>
    <w:rsid w:val="002201FD"/>
    <w:rsid w:val="00246139"/>
    <w:rsid w:val="00251331"/>
    <w:rsid w:val="00254D00"/>
    <w:rsid w:val="0026129F"/>
    <w:rsid w:val="00266CB2"/>
    <w:rsid w:val="00280100"/>
    <w:rsid w:val="0028611A"/>
    <w:rsid w:val="002864DD"/>
    <w:rsid w:val="002869B2"/>
    <w:rsid w:val="002924E6"/>
    <w:rsid w:val="00295067"/>
    <w:rsid w:val="00295AB1"/>
    <w:rsid w:val="002A130D"/>
    <w:rsid w:val="002A4A90"/>
    <w:rsid w:val="002C26E1"/>
    <w:rsid w:val="002C42D1"/>
    <w:rsid w:val="002D64A5"/>
    <w:rsid w:val="002E3FA3"/>
    <w:rsid w:val="002F2417"/>
    <w:rsid w:val="002F2EB1"/>
    <w:rsid w:val="002F7427"/>
    <w:rsid w:val="00311A47"/>
    <w:rsid w:val="003227C2"/>
    <w:rsid w:val="003303F6"/>
    <w:rsid w:val="00331CDD"/>
    <w:rsid w:val="0034026B"/>
    <w:rsid w:val="00361664"/>
    <w:rsid w:val="003D7066"/>
    <w:rsid w:val="003E14EE"/>
    <w:rsid w:val="004026F5"/>
    <w:rsid w:val="00407264"/>
    <w:rsid w:val="004075A8"/>
    <w:rsid w:val="0041218D"/>
    <w:rsid w:val="00440574"/>
    <w:rsid w:val="00442D37"/>
    <w:rsid w:val="00446FFD"/>
    <w:rsid w:val="004551D2"/>
    <w:rsid w:val="004652C3"/>
    <w:rsid w:val="004724D2"/>
    <w:rsid w:val="004765E7"/>
    <w:rsid w:val="004803EF"/>
    <w:rsid w:val="004870B3"/>
    <w:rsid w:val="004A4A14"/>
    <w:rsid w:val="004A6A3E"/>
    <w:rsid w:val="004C4621"/>
    <w:rsid w:val="004C4920"/>
    <w:rsid w:val="004D438D"/>
    <w:rsid w:val="004F20C0"/>
    <w:rsid w:val="004F4944"/>
    <w:rsid w:val="00507406"/>
    <w:rsid w:val="00527594"/>
    <w:rsid w:val="00534086"/>
    <w:rsid w:val="00540E3E"/>
    <w:rsid w:val="005416EF"/>
    <w:rsid w:val="005460ED"/>
    <w:rsid w:val="00553BA2"/>
    <w:rsid w:val="0056541D"/>
    <w:rsid w:val="00575780"/>
    <w:rsid w:val="00583A9C"/>
    <w:rsid w:val="00587D65"/>
    <w:rsid w:val="005A1329"/>
    <w:rsid w:val="005A1396"/>
    <w:rsid w:val="005F0371"/>
    <w:rsid w:val="005F50EF"/>
    <w:rsid w:val="00600AB5"/>
    <w:rsid w:val="00607ED1"/>
    <w:rsid w:val="0061297B"/>
    <w:rsid w:val="00613885"/>
    <w:rsid w:val="0062248B"/>
    <w:rsid w:val="006265EF"/>
    <w:rsid w:val="00630998"/>
    <w:rsid w:val="00641519"/>
    <w:rsid w:val="006428F9"/>
    <w:rsid w:val="0064427D"/>
    <w:rsid w:val="00646450"/>
    <w:rsid w:val="00663A62"/>
    <w:rsid w:val="00670B7E"/>
    <w:rsid w:val="00674081"/>
    <w:rsid w:val="00691BEB"/>
    <w:rsid w:val="00695A70"/>
    <w:rsid w:val="006A68C0"/>
    <w:rsid w:val="006A73C9"/>
    <w:rsid w:val="006B3724"/>
    <w:rsid w:val="006C32BA"/>
    <w:rsid w:val="006D0E60"/>
    <w:rsid w:val="006E2874"/>
    <w:rsid w:val="00726F4F"/>
    <w:rsid w:val="007271E3"/>
    <w:rsid w:val="00736541"/>
    <w:rsid w:val="00736C5E"/>
    <w:rsid w:val="007371EF"/>
    <w:rsid w:val="007376E6"/>
    <w:rsid w:val="00753FB8"/>
    <w:rsid w:val="007600C3"/>
    <w:rsid w:val="00775E38"/>
    <w:rsid w:val="007A2B0D"/>
    <w:rsid w:val="007B58AE"/>
    <w:rsid w:val="007F4F19"/>
    <w:rsid w:val="007F6BB8"/>
    <w:rsid w:val="00801CF7"/>
    <w:rsid w:val="008206E9"/>
    <w:rsid w:val="00823AD1"/>
    <w:rsid w:val="00823C00"/>
    <w:rsid w:val="008256B0"/>
    <w:rsid w:val="008367A5"/>
    <w:rsid w:val="00843336"/>
    <w:rsid w:val="00856670"/>
    <w:rsid w:val="00872802"/>
    <w:rsid w:val="008734B5"/>
    <w:rsid w:val="00896FD2"/>
    <w:rsid w:val="008A1384"/>
    <w:rsid w:val="008C0C23"/>
    <w:rsid w:val="008C2B50"/>
    <w:rsid w:val="008D46D9"/>
    <w:rsid w:val="008D5A8F"/>
    <w:rsid w:val="008D63D0"/>
    <w:rsid w:val="008E1F1D"/>
    <w:rsid w:val="008E49DB"/>
    <w:rsid w:val="008F0AF4"/>
    <w:rsid w:val="008F14E9"/>
    <w:rsid w:val="008F25F8"/>
    <w:rsid w:val="008F4A7B"/>
    <w:rsid w:val="0090714C"/>
    <w:rsid w:val="00910AB4"/>
    <w:rsid w:val="009211A7"/>
    <w:rsid w:val="00921F2E"/>
    <w:rsid w:val="00943D18"/>
    <w:rsid w:val="0095392D"/>
    <w:rsid w:val="00955119"/>
    <w:rsid w:val="00957CDE"/>
    <w:rsid w:val="009715BA"/>
    <w:rsid w:val="009731D3"/>
    <w:rsid w:val="00982F28"/>
    <w:rsid w:val="00985345"/>
    <w:rsid w:val="0099320B"/>
    <w:rsid w:val="009A3CC2"/>
    <w:rsid w:val="009A604E"/>
    <w:rsid w:val="009E3142"/>
    <w:rsid w:val="009F44D6"/>
    <w:rsid w:val="00A0166F"/>
    <w:rsid w:val="00A130C3"/>
    <w:rsid w:val="00A2022A"/>
    <w:rsid w:val="00A21B29"/>
    <w:rsid w:val="00A24D48"/>
    <w:rsid w:val="00A330DE"/>
    <w:rsid w:val="00A342FB"/>
    <w:rsid w:val="00A461C7"/>
    <w:rsid w:val="00A5596B"/>
    <w:rsid w:val="00A630A3"/>
    <w:rsid w:val="00A66B10"/>
    <w:rsid w:val="00A73341"/>
    <w:rsid w:val="00AB0968"/>
    <w:rsid w:val="00AB3CF5"/>
    <w:rsid w:val="00AC55DF"/>
    <w:rsid w:val="00AD2009"/>
    <w:rsid w:val="00AD5A54"/>
    <w:rsid w:val="00AE4EEB"/>
    <w:rsid w:val="00AF2219"/>
    <w:rsid w:val="00AF5CCF"/>
    <w:rsid w:val="00AF7210"/>
    <w:rsid w:val="00B04583"/>
    <w:rsid w:val="00B232BD"/>
    <w:rsid w:val="00B25664"/>
    <w:rsid w:val="00B32B77"/>
    <w:rsid w:val="00B54CC8"/>
    <w:rsid w:val="00B86DF1"/>
    <w:rsid w:val="00B93696"/>
    <w:rsid w:val="00BA22D0"/>
    <w:rsid w:val="00BA4A55"/>
    <w:rsid w:val="00BA56A5"/>
    <w:rsid w:val="00BE7A94"/>
    <w:rsid w:val="00BF0AA2"/>
    <w:rsid w:val="00BF1082"/>
    <w:rsid w:val="00BF420D"/>
    <w:rsid w:val="00BF67E9"/>
    <w:rsid w:val="00C03238"/>
    <w:rsid w:val="00C14BC8"/>
    <w:rsid w:val="00C369E2"/>
    <w:rsid w:val="00C4623E"/>
    <w:rsid w:val="00C46CE8"/>
    <w:rsid w:val="00C521A3"/>
    <w:rsid w:val="00C60E97"/>
    <w:rsid w:val="00C65BA4"/>
    <w:rsid w:val="00C70307"/>
    <w:rsid w:val="00C92840"/>
    <w:rsid w:val="00C9573A"/>
    <w:rsid w:val="00CB2F87"/>
    <w:rsid w:val="00CC14A3"/>
    <w:rsid w:val="00CC7592"/>
    <w:rsid w:val="00CD3274"/>
    <w:rsid w:val="00CD765A"/>
    <w:rsid w:val="00CE75BE"/>
    <w:rsid w:val="00D02EBB"/>
    <w:rsid w:val="00D0788E"/>
    <w:rsid w:val="00D1182F"/>
    <w:rsid w:val="00D17074"/>
    <w:rsid w:val="00D227A6"/>
    <w:rsid w:val="00D4313E"/>
    <w:rsid w:val="00D47957"/>
    <w:rsid w:val="00D57687"/>
    <w:rsid w:val="00D62656"/>
    <w:rsid w:val="00D629C9"/>
    <w:rsid w:val="00D709A5"/>
    <w:rsid w:val="00D7645B"/>
    <w:rsid w:val="00D853BB"/>
    <w:rsid w:val="00D94049"/>
    <w:rsid w:val="00D961F1"/>
    <w:rsid w:val="00DA5E18"/>
    <w:rsid w:val="00DC0A97"/>
    <w:rsid w:val="00DC55A6"/>
    <w:rsid w:val="00DC6183"/>
    <w:rsid w:val="00DC6F51"/>
    <w:rsid w:val="00DD2232"/>
    <w:rsid w:val="00DD4A4E"/>
    <w:rsid w:val="00DD5B8A"/>
    <w:rsid w:val="00DF52A5"/>
    <w:rsid w:val="00DF581D"/>
    <w:rsid w:val="00E0636E"/>
    <w:rsid w:val="00E13AC9"/>
    <w:rsid w:val="00E2775C"/>
    <w:rsid w:val="00E31576"/>
    <w:rsid w:val="00E447EA"/>
    <w:rsid w:val="00E449A0"/>
    <w:rsid w:val="00E45392"/>
    <w:rsid w:val="00E4570C"/>
    <w:rsid w:val="00E82B80"/>
    <w:rsid w:val="00E91FAC"/>
    <w:rsid w:val="00E95F6D"/>
    <w:rsid w:val="00E975C1"/>
    <w:rsid w:val="00EB1349"/>
    <w:rsid w:val="00EB59B4"/>
    <w:rsid w:val="00EB77CB"/>
    <w:rsid w:val="00EE1ED6"/>
    <w:rsid w:val="00EE3E92"/>
    <w:rsid w:val="00EF1670"/>
    <w:rsid w:val="00F02AC0"/>
    <w:rsid w:val="00F43641"/>
    <w:rsid w:val="00F54D33"/>
    <w:rsid w:val="00F624E8"/>
    <w:rsid w:val="00F83C0D"/>
    <w:rsid w:val="00F87F36"/>
    <w:rsid w:val="00F948AF"/>
    <w:rsid w:val="00F96441"/>
    <w:rsid w:val="00FA5491"/>
    <w:rsid w:val="00FB17C4"/>
    <w:rsid w:val="00FB441F"/>
    <w:rsid w:val="00FB50BE"/>
    <w:rsid w:val="00FB69B0"/>
    <w:rsid w:val="00FD272B"/>
    <w:rsid w:val="00FE1237"/>
    <w:rsid w:val="00FE6467"/>
    <w:rsid w:val="00FF3947"/>
    <w:rsid w:val="020B53E5"/>
    <w:rsid w:val="023554E3"/>
    <w:rsid w:val="02F859FA"/>
    <w:rsid w:val="04632207"/>
    <w:rsid w:val="057313BD"/>
    <w:rsid w:val="07EE2B92"/>
    <w:rsid w:val="0923088A"/>
    <w:rsid w:val="09242671"/>
    <w:rsid w:val="0A357D3C"/>
    <w:rsid w:val="0ADA7181"/>
    <w:rsid w:val="0AF06775"/>
    <w:rsid w:val="0B10302F"/>
    <w:rsid w:val="0B135FB0"/>
    <w:rsid w:val="0C044C23"/>
    <w:rsid w:val="0C87274C"/>
    <w:rsid w:val="0EFF2FCE"/>
    <w:rsid w:val="0F2C28A3"/>
    <w:rsid w:val="0F5D257D"/>
    <w:rsid w:val="111E6C07"/>
    <w:rsid w:val="1127199B"/>
    <w:rsid w:val="13530C63"/>
    <w:rsid w:val="1495707D"/>
    <w:rsid w:val="14C84619"/>
    <w:rsid w:val="150D0730"/>
    <w:rsid w:val="15845E74"/>
    <w:rsid w:val="16C91DE9"/>
    <w:rsid w:val="172D28F1"/>
    <w:rsid w:val="17BF458C"/>
    <w:rsid w:val="1C9E62A4"/>
    <w:rsid w:val="1F967A08"/>
    <w:rsid w:val="20311E4F"/>
    <w:rsid w:val="21F977B6"/>
    <w:rsid w:val="22284EA9"/>
    <w:rsid w:val="222D2907"/>
    <w:rsid w:val="22B00E06"/>
    <w:rsid w:val="23B43152"/>
    <w:rsid w:val="24AD0DCA"/>
    <w:rsid w:val="26AD1D75"/>
    <w:rsid w:val="2736587E"/>
    <w:rsid w:val="274C76AE"/>
    <w:rsid w:val="2857210F"/>
    <w:rsid w:val="2B9271AA"/>
    <w:rsid w:val="2DA43BCC"/>
    <w:rsid w:val="2ED57C42"/>
    <w:rsid w:val="2F097514"/>
    <w:rsid w:val="2F19723C"/>
    <w:rsid w:val="2FAB7BCF"/>
    <w:rsid w:val="30B607D0"/>
    <w:rsid w:val="30FA1B9A"/>
    <w:rsid w:val="31B52373"/>
    <w:rsid w:val="329131F3"/>
    <w:rsid w:val="32B364F4"/>
    <w:rsid w:val="33345C28"/>
    <w:rsid w:val="333F7C19"/>
    <w:rsid w:val="364B2805"/>
    <w:rsid w:val="379B78C3"/>
    <w:rsid w:val="382771BC"/>
    <w:rsid w:val="38A94866"/>
    <w:rsid w:val="3B0256E0"/>
    <w:rsid w:val="3C8762A9"/>
    <w:rsid w:val="3CEA6204"/>
    <w:rsid w:val="3DD9705D"/>
    <w:rsid w:val="3DDA2B2A"/>
    <w:rsid w:val="400D6374"/>
    <w:rsid w:val="41AC555C"/>
    <w:rsid w:val="43A9249C"/>
    <w:rsid w:val="44DA1EAE"/>
    <w:rsid w:val="452334C7"/>
    <w:rsid w:val="45417F62"/>
    <w:rsid w:val="46283712"/>
    <w:rsid w:val="46D017DE"/>
    <w:rsid w:val="46D56A05"/>
    <w:rsid w:val="48192F15"/>
    <w:rsid w:val="4BC06D67"/>
    <w:rsid w:val="4BE75244"/>
    <w:rsid w:val="4DEC3A2E"/>
    <w:rsid w:val="52720932"/>
    <w:rsid w:val="52C31574"/>
    <w:rsid w:val="567552E5"/>
    <w:rsid w:val="57CB4D54"/>
    <w:rsid w:val="5C127019"/>
    <w:rsid w:val="5CD82DCA"/>
    <w:rsid w:val="5DD95CAD"/>
    <w:rsid w:val="5F266680"/>
    <w:rsid w:val="60941A08"/>
    <w:rsid w:val="64266A61"/>
    <w:rsid w:val="65DB7DF5"/>
    <w:rsid w:val="66BF2A29"/>
    <w:rsid w:val="674E1A6A"/>
    <w:rsid w:val="67BF0DC9"/>
    <w:rsid w:val="69017D03"/>
    <w:rsid w:val="6A0D6D01"/>
    <w:rsid w:val="6A5D6859"/>
    <w:rsid w:val="6AA810D9"/>
    <w:rsid w:val="6C763271"/>
    <w:rsid w:val="6E230248"/>
    <w:rsid w:val="6F6F0583"/>
    <w:rsid w:val="70314061"/>
    <w:rsid w:val="71EA0C6D"/>
    <w:rsid w:val="71F65536"/>
    <w:rsid w:val="730E1D55"/>
    <w:rsid w:val="730F3270"/>
    <w:rsid w:val="74F305C0"/>
    <w:rsid w:val="74FC7CC9"/>
    <w:rsid w:val="75427A3D"/>
    <w:rsid w:val="754423B7"/>
    <w:rsid w:val="758117F9"/>
    <w:rsid w:val="7C1D13CB"/>
    <w:rsid w:val="7C310E3C"/>
    <w:rsid w:val="7FBD12D1"/>
    <w:rsid w:val="7FF97349"/>
    <w:rsid w:val="7FFC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8B33F5"/>
  <w15:docId w15:val="{45CB82A5-241F-4C3D-BAAB-DF8C5088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unhideWhenUsed="1" w:qFormat="1"/>
    <w:lsdException w:name="heading 2" w:uiPriority="99" w:unhideWhenUsed="1" w:qFormat="1"/>
    <w:lsdException w:name="heading 3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next w:val="a"/>
    <w:uiPriority w:val="99"/>
    <w:unhideWhenUsed/>
    <w:qFormat/>
    <w:pPr>
      <w:widowControl w:val="0"/>
      <w:autoSpaceDE w:val="0"/>
      <w:autoSpaceDN w:val="0"/>
      <w:adjustRightInd w:val="0"/>
      <w:outlineLvl w:val="0"/>
    </w:pPr>
    <w:rPr>
      <w:rFonts w:ascii="MingLiU" w:eastAsia="MingLiU" w:hAnsi="MingLiU"/>
      <w:b/>
      <w:color w:val="000000"/>
      <w:sz w:val="32"/>
    </w:rPr>
  </w:style>
  <w:style w:type="paragraph" w:styleId="2">
    <w:name w:val="heading 2"/>
    <w:next w:val="a"/>
    <w:uiPriority w:val="99"/>
    <w:unhideWhenUsed/>
    <w:qFormat/>
    <w:pPr>
      <w:widowControl w:val="0"/>
      <w:autoSpaceDE w:val="0"/>
      <w:autoSpaceDN w:val="0"/>
      <w:adjustRightInd w:val="0"/>
      <w:outlineLvl w:val="1"/>
    </w:pPr>
    <w:rPr>
      <w:rFonts w:ascii="MingLiU" w:eastAsia="MingLiU" w:hAnsi="MingLiU"/>
      <w:b/>
      <w:i/>
      <w:color w:val="000000"/>
      <w:sz w:val="28"/>
    </w:rPr>
  </w:style>
  <w:style w:type="paragraph" w:styleId="3">
    <w:name w:val="heading 3"/>
    <w:next w:val="a"/>
    <w:uiPriority w:val="99"/>
    <w:unhideWhenUsed/>
    <w:qFormat/>
    <w:pPr>
      <w:widowControl w:val="0"/>
      <w:autoSpaceDE w:val="0"/>
      <w:autoSpaceDN w:val="0"/>
      <w:adjustRightInd w:val="0"/>
      <w:outlineLvl w:val="2"/>
    </w:pPr>
    <w:rPr>
      <w:rFonts w:ascii="MingLiU" w:eastAsia="MingLiU" w:hAnsi="MingLiU"/>
      <w:b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Date"/>
    <w:basedOn w:val="a"/>
    <w:next w:val="a"/>
    <w:link w:val="a6"/>
    <w:qFormat/>
    <w:pPr>
      <w:ind w:leftChars="2500" w:left="100"/>
    </w:pPr>
  </w:style>
  <w:style w:type="paragraph" w:styleId="a7">
    <w:name w:val="Balloon Text"/>
    <w:basedOn w:val="a"/>
    <w:link w:val="a8"/>
    <w:qFormat/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qFormat/>
    <w:rPr>
      <w:b/>
      <w:bCs/>
    </w:rPr>
  </w:style>
  <w:style w:type="table" w:styleId="af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uiPriority w:val="20"/>
    <w:qFormat/>
    <w:rPr>
      <w:i/>
      <w:iCs/>
    </w:rPr>
  </w:style>
  <w:style w:type="character" w:styleId="af1">
    <w:name w:val="Hyperlink"/>
    <w:basedOn w:val="a0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character" w:customStyle="1" w:styleId="ac">
    <w:name w:val="页眉 字符"/>
    <w:basedOn w:val="a0"/>
    <w:link w:val="ab"/>
    <w:qFormat/>
    <w:rPr>
      <w:rFonts w:ascii="Calibri" w:hAnsi="Calibri"/>
      <w:kern w:val="2"/>
      <w:sz w:val="18"/>
      <w:szCs w:val="18"/>
    </w:rPr>
  </w:style>
  <w:style w:type="character" w:customStyle="1" w:styleId="aa">
    <w:name w:val="页脚 字符"/>
    <w:basedOn w:val="a0"/>
    <w:link w:val="a9"/>
    <w:qFormat/>
    <w:rPr>
      <w:rFonts w:ascii="Calibri" w:hAnsi="Calibri"/>
      <w:kern w:val="2"/>
      <w:sz w:val="18"/>
      <w:szCs w:val="18"/>
    </w:rPr>
  </w:style>
  <w:style w:type="paragraph" w:customStyle="1" w:styleId="10">
    <w:name w:val="修订1"/>
    <w:hidden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a4">
    <w:name w:val="批注文字 字符"/>
    <w:basedOn w:val="a0"/>
    <w:link w:val="a3"/>
    <w:qFormat/>
    <w:rPr>
      <w:rFonts w:ascii="Calibri" w:hAnsi="Calibri"/>
      <w:kern w:val="2"/>
      <w:sz w:val="21"/>
      <w:szCs w:val="24"/>
    </w:rPr>
  </w:style>
  <w:style w:type="character" w:customStyle="1" w:styleId="ae">
    <w:name w:val="批注主题 字符"/>
    <w:basedOn w:val="a4"/>
    <w:link w:val="ad"/>
    <w:qFormat/>
    <w:rPr>
      <w:rFonts w:ascii="Calibri" w:hAnsi="Calibri"/>
      <w:b/>
      <w:bCs/>
      <w:kern w:val="2"/>
      <w:sz w:val="21"/>
      <w:szCs w:val="24"/>
    </w:rPr>
  </w:style>
  <w:style w:type="paragraph" w:customStyle="1" w:styleId="20">
    <w:name w:val="修订2"/>
    <w:hidden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a6">
    <w:name w:val="日期 字符"/>
    <w:basedOn w:val="a0"/>
    <w:link w:val="a5"/>
    <w:qFormat/>
    <w:rPr>
      <w:rFonts w:ascii="Calibri" w:hAnsi="Calibri"/>
      <w:kern w:val="2"/>
      <w:sz w:val="21"/>
      <w:szCs w:val="24"/>
    </w:rPr>
  </w:style>
  <w:style w:type="paragraph" w:customStyle="1" w:styleId="af3">
    <w:name w:val="标准文件_一级条标题"/>
    <w:basedOn w:val="a"/>
    <w:next w:val="af4"/>
    <w:qFormat/>
    <w:pPr>
      <w:widowControl/>
      <w:spacing w:beforeLines="50" w:afterLines="50"/>
      <w:ind w:left="1260" w:hanging="420"/>
      <w:outlineLvl w:val="1"/>
    </w:pPr>
    <w:rPr>
      <w:rFonts w:ascii="黑体" w:eastAsia="黑体" w:hAnsi="Times New Roman"/>
      <w:kern w:val="0"/>
      <w:szCs w:val="20"/>
    </w:rPr>
  </w:style>
  <w:style w:type="paragraph" w:customStyle="1" w:styleId="af4">
    <w:name w:val="标准文件_段"/>
    <w:qFormat/>
    <w:pPr>
      <w:autoSpaceDE w:val="0"/>
      <w:autoSpaceDN w:val="0"/>
      <w:ind w:firstLineChars="200" w:firstLine="20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paragraph" w:customStyle="1" w:styleId="af5">
    <w:name w:val="章标题"/>
    <w:next w:val="af6"/>
    <w:qFormat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6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30">
    <w:name w:val="修订3"/>
    <w:hidden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">
    <w:name w:val="段 Char"/>
    <w:link w:val="af6"/>
    <w:qFormat/>
    <w:rPr>
      <w:rFonts w:ascii="宋体"/>
      <w:sz w:val="21"/>
    </w:rPr>
  </w:style>
  <w:style w:type="character" w:customStyle="1" w:styleId="a8">
    <w:name w:val="批注框文本 字符"/>
    <w:basedOn w:val="a0"/>
    <w:link w:val="a7"/>
    <w:qFormat/>
    <w:rPr>
      <w:rFonts w:ascii="Calibri" w:hAnsi="Calibri"/>
      <w:kern w:val="2"/>
      <w:sz w:val="18"/>
      <w:szCs w:val="18"/>
    </w:rPr>
  </w:style>
  <w:style w:type="paragraph" w:styleId="af7">
    <w:name w:val="Revision"/>
    <w:hidden/>
    <w:uiPriority w:val="99"/>
    <w:unhideWhenUsed/>
    <w:rsid w:val="00446FFD"/>
    <w:rPr>
      <w:rFonts w:ascii="Calibri" w:hAnsi="Calibri"/>
      <w:kern w:val="2"/>
      <w:sz w:val="21"/>
      <w:szCs w:val="24"/>
    </w:rPr>
  </w:style>
  <w:style w:type="paragraph" w:customStyle="1" w:styleId="UserStyle0">
    <w:name w:val="UserStyle_0"/>
    <w:basedOn w:val="a"/>
    <w:qFormat/>
    <w:rsid w:val="000615E3"/>
    <w:pPr>
      <w:spacing w:before="312" w:line="276" w:lineRule="auto"/>
      <w:ind w:left="210" w:right="210" w:firstLine="600"/>
      <w:contextualSpacing/>
      <w:textAlignment w:val="baseline"/>
    </w:pPr>
    <w:rPr>
      <w:rFonts w:ascii="微软雅黑" w:eastAsia="微软雅黑" w:hAnsi="微软雅黑"/>
      <w:color w:val="000000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1735</Words>
  <Characters>9894</Characters>
  <Application>Microsoft Office Word</Application>
  <DocSecurity>0</DocSecurity>
  <Lines>82</Lines>
  <Paragraphs>23</Paragraphs>
  <ScaleCrop>false</ScaleCrop>
  <Company/>
  <LinksUpToDate>false</LinksUpToDate>
  <CharactersWithSpaces>11606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:description>ADDIN</dc:description>
  <cp:lastModifiedBy>X3453</cp:lastModifiedBy>
  <cp:revision>8</cp:revision>
  <dcterms:created xsi:type="dcterms:W3CDTF">2025-06-05T06:44:00Z</dcterms:created>
  <dcterms:modified xsi:type="dcterms:W3CDTF">2025-07-09T02:37:00Z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3866F464F5C54CDBA7E3E8BCEFF7252F</vt:lpwstr>
  </property>
  <property fmtid="{D5CDD505-2E9C-101B-9397-08002B2CF9AE}" pid="4" name="KSOTemplateDocerSaveRecord">
    <vt:lpwstr>eyJoZGlkIjoiZDc1NmE2ZTRhN2VhZDI2Y2NkN2JkMTY5MmY2MjhhY2YiLCJ1c2VySWQiOiIxMDYxNTEwMzcxIn0=</vt:lpwstr>
  </property>
</Properties>
</file>